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1665D" w14:textId="3F698D31" w:rsidR="00B83F69" w:rsidRPr="00CD1DB3" w:rsidRDefault="00ED7E04" w:rsidP="00CD1DB3">
      <w:pPr>
        <w:pStyle w:val="Heading1"/>
        <w:spacing w:before="0"/>
        <w:rPr>
          <w:rFonts w:asciiTheme="minorHAnsi" w:hAnsiTheme="minorHAnsi" w:cstheme="minorHAnsi"/>
          <w:sz w:val="28"/>
          <w:szCs w:val="28"/>
        </w:rPr>
      </w:pPr>
      <w:bookmarkStart w:id="0" w:name="_GoBack"/>
      <w:bookmarkEnd w:id="0"/>
      <w:r w:rsidRPr="00624D02">
        <w:rPr>
          <w:rFonts w:asciiTheme="minorHAnsi" w:hAnsiTheme="minorHAnsi" w:cstheme="minorHAnsi"/>
          <w:sz w:val="28"/>
          <w:szCs w:val="28"/>
        </w:rPr>
        <w:t>Co</w:t>
      </w:r>
      <w:r w:rsidR="00B83F69" w:rsidRPr="00624D02">
        <w:rPr>
          <w:rFonts w:asciiTheme="minorHAnsi" w:hAnsiTheme="minorHAnsi" w:cstheme="minorHAnsi"/>
          <w:sz w:val="28"/>
          <w:szCs w:val="28"/>
        </w:rPr>
        <w:t xml:space="preserve">urse Progress and </w:t>
      </w:r>
      <w:r w:rsidR="005C4BD2">
        <w:rPr>
          <w:rFonts w:asciiTheme="minorHAnsi" w:hAnsiTheme="minorHAnsi" w:cstheme="minorHAnsi"/>
          <w:sz w:val="28"/>
          <w:szCs w:val="28"/>
        </w:rPr>
        <w:t xml:space="preserve">Monitoring </w:t>
      </w:r>
      <w:r w:rsidR="00B83F69" w:rsidRPr="00624D02">
        <w:rPr>
          <w:rFonts w:asciiTheme="minorHAnsi" w:hAnsiTheme="minorHAnsi" w:cstheme="minorHAnsi"/>
          <w:sz w:val="28"/>
          <w:szCs w:val="28"/>
        </w:rPr>
        <w:t>Attendance Policy</w:t>
      </w:r>
    </w:p>
    <w:p w14:paraId="271C8120" w14:textId="3F7B6FA2" w:rsidR="00B83F69" w:rsidRPr="003E5B94" w:rsidRDefault="00B83F69">
      <w:pPr>
        <w:pStyle w:val="Heading5"/>
        <w:spacing w:before="0"/>
        <w:rPr>
          <w:rFonts w:asciiTheme="minorHAnsi" w:hAnsiTheme="minorHAnsi" w:cstheme="minorHAnsi"/>
          <w:color w:val="1F3864" w:themeColor="accent1" w:themeShade="80"/>
          <w:sz w:val="20"/>
          <w:szCs w:val="20"/>
        </w:rPr>
      </w:pPr>
      <w:r w:rsidRPr="00624D02">
        <w:rPr>
          <w:rFonts w:asciiTheme="minorHAnsi" w:hAnsiTheme="minorHAnsi" w:cstheme="minorHAnsi"/>
          <w:color w:val="1F3864" w:themeColor="accent1" w:themeShade="80"/>
          <w:sz w:val="20"/>
          <w:szCs w:val="20"/>
        </w:rPr>
        <w:t>Purpose</w:t>
      </w:r>
    </w:p>
    <w:p w14:paraId="09ACC785" w14:textId="121C166E" w:rsidR="002058D8" w:rsidRPr="00624D02" w:rsidRDefault="00ED7E04" w:rsidP="00CD1DB3">
      <w:pPr>
        <w:jc w:val="both"/>
        <w:rPr>
          <w:rFonts w:cstheme="minorHAnsi"/>
          <w:sz w:val="20"/>
          <w:szCs w:val="20"/>
        </w:rPr>
      </w:pPr>
      <w:r w:rsidRPr="00624D02">
        <w:rPr>
          <w:rFonts w:cstheme="minorHAnsi"/>
          <w:sz w:val="20"/>
          <w:szCs w:val="20"/>
        </w:rPr>
        <w:t>Fox Education and Consultancy</w:t>
      </w:r>
      <w:r w:rsidR="00B83F69" w:rsidRPr="00624D02">
        <w:rPr>
          <w:rFonts w:cstheme="minorHAnsi"/>
          <w:sz w:val="20"/>
          <w:szCs w:val="20"/>
        </w:rPr>
        <w:t xml:space="preserve"> </w:t>
      </w:r>
      <w:r w:rsidR="003E5B94">
        <w:rPr>
          <w:rFonts w:cstheme="minorHAnsi"/>
          <w:sz w:val="20"/>
          <w:szCs w:val="20"/>
        </w:rPr>
        <w:t xml:space="preserve">(“FOX”) </w:t>
      </w:r>
      <w:r w:rsidR="00B83F69" w:rsidRPr="00624D02">
        <w:rPr>
          <w:rFonts w:cstheme="minorHAnsi"/>
          <w:sz w:val="20"/>
          <w:szCs w:val="20"/>
        </w:rPr>
        <w:t xml:space="preserve">records and monitors the academic progress of all students to assist them towards the successful completion of their course and, where necessary, directs them to the appropriate source of personal and/or academic assistance. </w:t>
      </w:r>
    </w:p>
    <w:p w14:paraId="0422DF90" w14:textId="3A97BDEE" w:rsidR="002058D8" w:rsidRDefault="002058D8">
      <w:pPr>
        <w:pStyle w:val="Heading5"/>
        <w:spacing w:before="0"/>
        <w:rPr>
          <w:rFonts w:asciiTheme="minorHAnsi" w:hAnsiTheme="minorHAnsi" w:cstheme="minorHAnsi"/>
          <w:b/>
          <w:bCs/>
          <w:sz w:val="20"/>
          <w:szCs w:val="20"/>
        </w:rPr>
      </w:pPr>
      <w:r w:rsidRPr="00624D02">
        <w:rPr>
          <w:rFonts w:asciiTheme="minorHAnsi" w:hAnsiTheme="minorHAnsi" w:cstheme="minorHAnsi"/>
          <w:color w:val="1F3864" w:themeColor="accent1" w:themeShade="80"/>
          <w:sz w:val="20"/>
          <w:szCs w:val="20"/>
        </w:rPr>
        <w:t>Scope</w:t>
      </w:r>
      <w:r w:rsidRPr="00624D02">
        <w:rPr>
          <w:rFonts w:asciiTheme="minorHAnsi" w:hAnsiTheme="minorHAnsi" w:cstheme="minorHAnsi"/>
          <w:b/>
          <w:bCs/>
          <w:sz w:val="20"/>
          <w:szCs w:val="20"/>
        </w:rPr>
        <w:t xml:space="preserve"> </w:t>
      </w:r>
    </w:p>
    <w:p w14:paraId="55557D11" w14:textId="68F25854" w:rsidR="003E5B94" w:rsidRPr="00CD1DB3" w:rsidRDefault="002058D8" w:rsidP="00CD1DB3">
      <w:pPr>
        <w:rPr>
          <w:rFonts w:cstheme="minorHAnsi"/>
          <w:sz w:val="20"/>
          <w:szCs w:val="20"/>
        </w:rPr>
      </w:pPr>
      <w:r w:rsidRPr="00624D02">
        <w:rPr>
          <w:rFonts w:cstheme="minorHAnsi"/>
          <w:sz w:val="20"/>
          <w:szCs w:val="20"/>
        </w:rPr>
        <w:t xml:space="preserve">This policy applies to domestic and international students enrolled in all </w:t>
      </w:r>
      <w:r w:rsidR="003E5B94">
        <w:rPr>
          <w:rFonts w:cstheme="minorHAnsi"/>
          <w:sz w:val="20"/>
          <w:szCs w:val="20"/>
        </w:rPr>
        <w:t>FOX</w:t>
      </w:r>
      <w:r w:rsidRPr="00624D02">
        <w:rPr>
          <w:rFonts w:cstheme="minorHAnsi"/>
          <w:sz w:val="20"/>
          <w:szCs w:val="20"/>
        </w:rPr>
        <w:t xml:space="preserve"> courses. </w:t>
      </w:r>
    </w:p>
    <w:p w14:paraId="6D85E988" w14:textId="134B9310" w:rsidR="002058D8" w:rsidRPr="00624D02" w:rsidRDefault="002058D8" w:rsidP="00624D02">
      <w:pPr>
        <w:pStyle w:val="Heading5"/>
        <w:spacing w:before="0"/>
        <w:rPr>
          <w:rFonts w:asciiTheme="minorHAnsi" w:hAnsiTheme="minorHAnsi" w:cstheme="minorHAnsi"/>
          <w:sz w:val="20"/>
          <w:szCs w:val="20"/>
        </w:rPr>
      </w:pPr>
      <w:r w:rsidRPr="00624D02">
        <w:rPr>
          <w:rFonts w:asciiTheme="minorHAnsi" w:hAnsiTheme="minorHAnsi" w:cstheme="minorHAnsi"/>
          <w:color w:val="1F3864" w:themeColor="accent1" w:themeShade="80"/>
          <w:sz w:val="20"/>
          <w:szCs w:val="20"/>
        </w:rPr>
        <w:t>Principles</w:t>
      </w:r>
      <w:r w:rsidRPr="00624D02">
        <w:rPr>
          <w:rFonts w:asciiTheme="minorHAnsi" w:hAnsiTheme="minorHAnsi" w:cstheme="minorHAnsi"/>
          <w:b/>
          <w:bCs/>
          <w:sz w:val="20"/>
          <w:szCs w:val="20"/>
        </w:rPr>
        <w:t xml:space="preserve"> </w:t>
      </w:r>
    </w:p>
    <w:p w14:paraId="455D0A5B" w14:textId="3B1F0795" w:rsidR="002058D8" w:rsidRPr="00624D02" w:rsidRDefault="002058D8">
      <w:pPr>
        <w:rPr>
          <w:rFonts w:cstheme="minorHAnsi"/>
          <w:sz w:val="20"/>
          <w:szCs w:val="20"/>
        </w:rPr>
      </w:pPr>
      <w:r w:rsidRPr="00624D02">
        <w:rPr>
          <w:rFonts w:cstheme="minorHAnsi"/>
          <w:sz w:val="20"/>
          <w:szCs w:val="20"/>
        </w:rPr>
        <w:t xml:space="preserve">The principles upon which this policy is based are that: </w:t>
      </w:r>
    </w:p>
    <w:p w14:paraId="1D6319F4" w14:textId="28E6E248" w:rsidR="002058D8" w:rsidRPr="004E714F" w:rsidRDefault="00CD1DB3" w:rsidP="004E714F">
      <w:pPr>
        <w:pStyle w:val="ListParagraph"/>
        <w:numPr>
          <w:ilvl w:val="0"/>
          <w:numId w:val="6"/>
        </w:numPr>
        <w:jc w:val="both"/>
        <w:rPr>
          <w:rFonts w:cstheme="minorHAnsi"/>
          <w:sz w:val="20"/>
          <w:szCs w:val="20"/>
        </w:rPr>
      </w:pPr>
      <w:r w:rsidRPr="004E714F">
        <w:rPr>
          <w:rFonts w:cstheme="minorHAnsi"/>
          <w:sz w:val="20"/>
          <w:szCs w:val="20"/>
        </w:rPr>
        <w:t>S</w:t>
      </w:r>
      <w:r w:rsidR="002058D8" w:rsidRPr="004E714F">
        <w:rPr>
          <w:rFonts w:cstheme="minorHAnsi"/>
          <w:sz w:val="20"/>
          <w:szCs w:val="20"/>
        </w:rPr>
        <w:t>tudents are primarily responsible for their own academic performance</w:t>
      </w:r>
      <w:r w:rsidRPr="004E714F">
        <w:rPr>
          <w:rFonts w:cstheme="minorHAnsi"/>
          <w:sz w:val="20"/>
          <w:szCs w:val="20"/>
        </w:rPr>
        <w:t>.</w:t>
      </w:r>
      <w:r w:rsidR="002058D8" w:rsidRPr="004E714F">
        <w:rPr>
          <w:rFonts w:cstheme="minorHAnsi"/>
          <w:sz w:val="20"/>
          <w:szCs w:val="20"/>
        </w:rPr>
        <w:t xml:space="preserve"> </w:t>
      </w:r>
    </w:p>
    <w:p w14:paraId="33EA50AD" w14:textId="25534EDA" w:rsidR="002058D8" w:rsidRPr="004E714F" w:rsidRDefault="003E5B94" w:rsidP="004E714F">
      <w:pPr>
        <w:pStyle w:val="ListParagraph"/>
        <w:numPr>
          <w:ilvl w:val="0"/>
          <w:numId w:val="6"/>
        </w:numPr>
        <w:jc w:val="both"/>
        <w:rPr>
          <w:rFonts w:cstheme="minorHAnsi"/>
          <w:sz w:val="20"/>
          <w:szCs w:val="20"/>
        </w:rPr>
      </w:pPr>
      <w:r w:rsidRPr="004E714F">
        <w:rPr>
          <w:rFonts w:cstheme="minorHAnsi"/>
          <w:sz w:val="20"/>
          <w:szCs w:val="20"/>
        </w:rPr>
        <w:t>FOX</w:t>
      </w:r>
      <w:r w:rsidR="002058D8" w:rsidRPr="004E714F">
        <w:rPr>
          <w:rFonts w:cstheme="minorHAnsi"/>
          <w:sz w:val="20"/>
          <w:szCs w:val="20"/>
        </w:rPr>
        <w:t xml:space="preserve"> will ensure that students have the necessary tools to evaluate their progress, including timely and informed feedback on all assessment tasks</w:t>
      </w:r>
      <w:r w:rsidR="00CD1DB3" w:rsidRPr="004E714F">
        <w:rPr>
          <w:rFonts w:cstheme="minorHAnsi"/>
          <w:sz w:val="20"/>
          <w:szCs w:val="20"/>
        </w:rPr>
        <w:t>.</w:t>
      </w:r>
    </w:p>
    <w:p w14:paraId="29FA6BFD" w14:textId="3D061D6F" w:rsidR="002058D8" w:rsidRPr="004E714F" w:rsidRDefault="00CD1DB3" w:rsidP="004E714F">
      <w:pPr>
        <w:pStyle w:val="ListParagraph"/>
        <w:numPr>
          <w:ilvl w:val="0"/>
          <w:numId w:val="6"/>
        </w:numPr>
        <w:jc w:val="both"/>
        <w:rPr>
          <w:rFonts w:cstheme="minorHAnsi"/>
          <w:sz w:val="20"/>
          <w:szCs w:val="20"/>
        </w:rPr>
      </w:pPr>
      <w:r w:rsidRPr="004E714F">
        <w:rPr>
          <w:rFonts w:cstheme="minorHAnsi"/>
          <w:sz w:val="20"/>
          <w:szCs w:val="20"/>
        </w:rPr>
        <w:t>S</w:t>
      </w:r>
      <w:r w:rsidR="002058D8" w:rsidRPr="004E714F">
        <w:rPr>
          <w:rFonts w:cstheme="minorHAnsi"/>
          <w:sz w:val="20"/>
          <w:szCs w:val="20"/>
        </w:rPr>
        <w:t>tudents identified as at risk of not achieving satisfactory academic progress will be advised of this status in a timely manner</w:t>
      </w:r>
      <w:r w:rsidRPr="004E714F">
        <w:rPr>
          <w:rFonts w:cstheme="minorHAnsi"/>
          <w:sz w:val="20"/>
          <w:szCs w:val="20"/>
        </w:rPr>
        <w:t>.</w:t>
      </w:r>
    </w:p>
    <w:p w14:paraId="310CB2B7" w14:textId="1E3D18A3" w:rsidR="002058D8" w:rsidRPr="004E714F" w:rsidRDefault="00CD1DB3" w:rsidP="004E714F">
      <w:pPr>
        <w:pStyle w:val="ListParagraph"/>
        <w:numPr>
          <w:ilvl w:val="0"/>
          <w:numId w:val="6"/>
        </w:numPr>
        <w:jc w:val="both"/>
        <w:rPr>
          <w:rFonts w:cstheme="minorHAnsi"/>
          <w:sz w:val="20"/>
          <w:szCs w:val="20"/>
        </w:rPr>
      </w:pPr>
      <w:r w:rsidRPr="004E714F">
        <w:rPr>
          <w:rFonts w:cstheme="minorHAnsi"/>
          <w:sz w:val="20"/>
          <w:szCs w:val="20"/>
        </w:rPr>
        <w:t>A</w:t>
      </w:r>
      <w:r w:rsidR="002058D8" w:rsidRPr="004E714F">
        <w:rPr>
          <w:rFonts w:cstheme="minorHAnsi"/>
          <w:sz w:val="20"/>
          <w:szCs w:val="20"/>
        </w:rPr>
        <w:t xml:space="preserve">ppropriate learning and other support will be provided to students identified as at risk of not achieving satisfactory academic progress. </w:t>
      </w:r>
    </w:p>
    <w:p w14:paraId="084A8808" w14:textId="77777777" w:rsidR="0003230E" w:rsidRPr="0003230E" w:rsidRDefault="0003230E" w:rsidP="0003230E">
      <w:pPr>
        <w:widowControl w:val="0"/>
        <w:tabs>
          <w:tab w:val="left" w:pos="915"/>
        </w:tabs>
        <w:spacing w:after="0" w:line="240" w:lineRule="auto"/>
        <w:ind w:left="360" w:right="857"/>
        <w:jc w:val="both"/>
        <w:rPr>
          <w:rFonts w:cstheme="minorHAnsi"/>
          <w:spacing w:val="-1"/>
          <w:sz w:val="20"/>
          <w:szCs w:val="20"/>
        </w:rPr>
      </w:pPr>
    </w:p>
    <w:p w14:paraId="354015F5" w14:textId="16AEA0FF" w:rsidR="002058D8" w:rsidRPr="004E714F" w:rsidRDefault="002058D8" w:rsidP="00624D02">
      <w:pPr>
        <w:pStyle w:val="Heading5"/>
        <w:spacing w:before="0"/>
        <w:rPr>
          <w:rFonts w:cstheme="minorHAnsi"/>
          <w:b/>
          <w:bCs/>
          <w:sz w:val="20"/>
          <w:szCs w:val="20"/>
        </w:rPr>
      </w:pPr>
      <w:r w:rsidRPr="00624D02">
        <w:rPr>
          <w:rFonts w:asciiTheme="minorHAnsi" w:hAnsiTheme="minorHAnsi" w:cstheme="minorHAnsi"/>
          <w:color w:val="1F3864" w:themeColor="accent1" w:themeShade="80"/>
          <w:sz w:val="20"/>
          <w:szCs w:val="20"/>
        </w:rPr>
        <w:t>Definitions</w:t>
      </w:r>
      <w:r w:rsidRPr="00624D02">
        <w:rPr>
          <w:rFonts w:asciiTheme="minorHAnsi" w:hAnsiTheme="minorHAnsi" w:cstheme="minorHAnsi"/>
          <w:b/>
          <w:bCs/>
          <w:sz w:val="20"/>
          <w:szCs w:val="20"/>
        </w:rPr>
        <w:t xml:space="preserve"> </w:t>
      </w:r>
    </w:p>
    <w:p w14:paraId="1FB6A749" w14:textId="4D9143E7" w:rsidR="002058D8" w:rsidRPr="004E714F" w:rsidRDefault="002058D8" w:rsidP="004E714F">
      <w:pPr>
        <w:pStyle w:val="ListParagraph"/>
        <w:numPr>
          <w:ilvl w:val="0"/>
          <w:numId w:val="6"/>
        </w:numPr>
        <w:jc w:val="both"/>
        <w:rPr>
          <w:rFonts w:cstheme="minorHAnsi"/>
          <w:sz w:val="20"/>
          <w:szCs w:val="20"/>
        </w:rPr>
      </w:pPr>
      <w:r w:rsidRPr="004E714F">
        <w:rPr>
          <w:rFonts w:cstheme="minorHAnsi"/>
          <w:b/>
          <w:bCs/>
          <w:sz w:val="20"/>
          <w:szCs w:val="20"/>
        </w:rPr>
        <w:t>Confirmation of Enrolment (CoE):</w:t>
      </w:r>
      <w:r w:rsidRPr="004E714F">
        <w:rPr>
          <w:rFonts w:cstheme="minorHAnsi"/>
          <w:sz w:val="20"/>
          <w:szCs w:val="20"/>
        </w:rPr>
        <w:t xml:space="preserve"> a document issued by </w:t>
      </w:r>
      <w:r w:rsidR="003E5B94" w:rsidRPr="004E714F">
        <w:rPr>
          <w:rFonts w:cstheme="minorHAnsi"/>
          <w:sz w:val="20"/>
          <w:szCs w:val="20"/>
        </w:rPr>
        <w:t>FOX</w:t>
      </w:r>
      <w:r w:rsidRPr="004E714F">
        <w:rPr>
          <w:rFonts w:cstheme="minorHAnsi"/>
          <w:sz w:val="20"/>
          <w:szCs w:val="20"/>
        </w:rPr>
        <w:t xml:space="preserve"> to international students and is required for purposes of applying for a student visa. It contains information about </w:t>
      </w:r>
      <w:r w:rsidR="003E5B94" w:rsidRPr="004E714F">
        <w:rPr>
          <w:rFonts w:cstheme="minorHAnsi"/>
          <w:sz w:val="20"/>
          <w:szCs w:val="20"/>
        </w:rPr>
        <w:t>FOX</w:t>
      </w:r>
      <w:r w:rsidRPr="004E714F">
        <w:rPr>
          <w:rFonts w:cstheme="minorHAnsi"/>
          <w:sz w:val="20"/>
          <w:szCs w:val="20"/>
        </w:rPr>
        <w:t xml:space="preserve">, the course in which the student has enrolled, and the duration of the course. </w:t>
      </w:r>
    </w:p>
    <w:p w14:paraId="3B9FFD92" w14:textId="4B90AF7C" w:rsidR="002058D8" w:rsidRPr="004E714F" w:rsidRDefault="002058D8" w:rsidP="004E714F">
      <w:pPr>
        <w:pStyle w:val="ListParagraph"/>
        <w:numPr>
          <w:ilvl w:val="0"/>
          <w:numId w:val="6"/>
        </w:numPr>
        <w:jc w:val="both"/>
        <w:rPr>
          <w:rFonts w:cstheme="minorHAnsi"/>
          <w:sz w:val="20"/>
          <w:szCs w:val="20"/>
        </w:rPr>
      </w:pPr>
      <w:r w:rsidRPr="004E714F">
        <w:rPr>
          <w:rFonts w:cstheme="minorHAnsi"/>
          <w:b/>
          <w:bCs/>
          <w:sz w:val="20"/>
          <w:szCs w:val="20"/>
        </w:rPr>
        <w:t>Domestic student:</w:t>
      </w:r>
      <w:r w:rsidRPr="004E714F">
        <w:rPr>
          <w:rFonts w:cstheme="minorHAnsi"/>
          <w:sz w:val="20"/>
          <w:szCs w:val="20"/>
        </w:rPr>
        <w:t xml:space="preserve"> a student who is an Australian citizen, a New Zealand citizen, or a holder of an Australian permanent visa (holders of all categories of permanent resident visas including Humanitarian Visas). </w:t>
      </w:r>
    </w:p>
    <w:p w14:paraId="08A907BC" w14:textId="0CB611A7" w:rsidR="006868D0" w:rsidRPr="004E714F" w:rsidRDefault="006868D0" w:rsidP="004E714F">
      <w:pPr>
        <w:pStyle w:val="ListParagraph"/>
        <w:numPr>
          <w:ilvl w:val="0"/>
          <w:numId w:val="6"/>
        </w:numPr>
        <w:jc w:val="both"/>
        <w:rPr>
          <w:rFonts w:cstheme="minorHAnsi"/>
          <w:sz w:val="20"/>
          <w:szCs w:val="20"/>
        </w:rPr>
      </w:pPr>
      <w:r w:rsidRPr="004E714F">
        <w:rPr>
          <w:rFonts w:cstheme="minorHAnsi"/>
          <w:b/>
          <w:bCs/>
          <w:sz w:val="20"/>
          <w:szCs w:val="20"/>
        </w:rPr>
        <w:t>DHA:</w:t>
      </w:r>
      <w:r w:rsidRPr="004E714F">
        <w:rPr>
          <w:rFonts w:cstheme="minorHAnsi"/>
          <w:sz w:val="20"/>
          <w:szCs w:val="20"/>
        </w:rPr>
        <w:t xml:space="preserve"> Department of Home Affairs – the Australian Government department tasked with issuing student visas.</w:t>
      </w:r>
    </w:p>
    <w:p w14:paraId="03CFA24F" w14:textId="77777777" w:rsidR="002058D8" w:rsidRPr="004E714F" w:rsidRDefault="002058D8" w:rsidP="004E714F">
      <w:pPr>
        <w:pStyle w:val="ListParagraph"/>
        <w:numPr>
          <w:ilvl w:val="0"/>
          <w:numId w:val="6"/>
        </w:numPr>
        <w:jc w:val="both"/>
        <w:rPr>
          <w:rFonts w:cstheme="minorHAnsi"/>
          <w:sz w:val="20"/>
          <w:szCs w:val="20"/>
        </w:rPr>
      </w:pPr>
      <w:r w:rsidRPr="004E714F">
        <w:rPr>
          <w:rFonts w:cstheme="minorHAnsi"/>
          <w:b/>
          <w:bCs/>
          <w:sz w:val="20"/>
          <w:szCs w:val="20"/>
        </w:rPr>
        <w:t>International student:</w:t>
      </w:r>
      <w:r w:rsidRPr="004E714F">
        <w:rPr>
          <w:rFonts w:cstheme="minorHAnsi"/>
          <w:sz w:val="20"/>
          <w:szCs w:val="20"/>
        </w:rPr>
        <w:t xml:space="preserve"> a student who is not a domestic student, and who may hold a student visa and is protected by the ESOS legislative framework. </w:t>
      </w:r>
    </w:p>
    <w:p w14:paraId="4F926320" w14:textId="77777777" w:rsidR="002058D8" w:rsidRPr="004E714F" w:rsidRDefault="002058D8" w:rsidP="004E714F">
      <w:pPr>
        <w:pStyle w:val="ListParagraph"/>
        <w:numPr>
          <w:ilvl w:val="0"/>
          <w:numId w:val="6"/>
        </w:numPr>
        <w:jc w:val="both"/>
        <w:rPr>
          <w:rFonts w:cstheme="minorHAnsi"/>
          <w:sz w:val="20"/>
          <w:szCs w:val="20"/>
        </w:rPr>
      </w:pPr>
      <w:r w:rsidRPr="004E714F">
        <w:rPr>
          <w:rFonts w:cstheme="minorHAnsi"/>
          <w:b/>
          <w:bCs/>
          <w:sz w:val="20"/>
          <w:szCs w:val="20"/>
        </w:rPr>
        <w:t>Intervention strategy:</w:t>
      </w:r>
      <w:r w:rsidRPr="004E714F">
        <w:rPr>
          <w:rFonts w:cstheme="minorHAnsi"/>
          <w:sz w:val="20"/>
          <w:szCs w:val="20"/>
        </w:rPr>
        <w:t xml:space="preserve"> a plan of action adopted in an attempt to address and reduce the causes of academic failure of a student identified as academically at risk. </w:t>
      </w:r>
    </w:p>
    <w:p w14:paraId="3DF1A5D5" w14:textId="77777777" w:rsidR="002058D8" w:rsidRPr="004E714F" w:rsidRDefault="002058D8" w:rsidP="004E714F">
      <w:pPr>
        <w:pStyle w:val="ListParagraph"/>
        <w:numPr>
          <w:ilvl w:val="0"/>
          <w:numId w:val="6"/>
        </w:numPr>
        <w:jc w:val="both"/>
        <w:rPr>
          <w:rFonts w:cstheme="minorHAnsi"/>
          <w:sz w:val="20"/>
          <w:szCs w:val="20"/>
        </w:rPr>
      </w:pPr>
      <w:r w:rsidRPr="004E714F">
        <w:rPr>
          <w:rFonts w:cstheme="minorHAnsi"/>
          <w:b/>
          <w:bCs/>
          <w:sz w:val="20"/>
          <w:szCs w:val="20"/>
        </w:rPr>
        <w:t>Progression:</w:t>
      </w:r>
      <w:r w:rsidRPr="004E714F">
        <w:rPr>
          <w:rFonts w:cstheme="minorHAnsi"/>
          <w:sz w:val="20"/>
          <w:szCs w:val="20"/>
        </w:rPr>
        <w:t xml:space="preserve"> the progress made by a student towards completion of their course. </w:t>
      </w:r>
    </w:p>
    <w:p w14:paraId="601633BF" w14:textId="77777777" w:rsidR="0003230E" w:rsidRPr="0003230E" w:rsidRDefault="0003230E" w:rsidP="0003230E">
      <w:pPr>
        <w:widowControl w:val="0"/>
        <w:tabs>
          <w:tab w:val="left" w:pos="915"/>
        </w:tabs>
        <w:spacing w:after="0"/>
        <w:ind w:left="360" w:right="857"/>
        <w:jc w:val="both"/>
        <w:rPr>
          <w:rFonts w:cstheme="minorHAnsi"/>
          <w:spacing w:val="-1"/>
          <w:sz w:val="20"/>
          <w:szCs w:val="20"/>
        </w:rPr>
      </w:pPr>
    </w:p>
    <w:p w14:paraId="64C3154D" w14:textId="5E4AE635" w:rsidR="00CD1DB3" w:rsidRDefault="00CD1DB3" w:rsidP="00CD1DB3">
      <w:pPr>
        <w:pStyle w:val="Heading5"/>
        <w:spacing w:before="0"/>
        <w:rPr>
          <w:rFonts w:cstheme="minorHAnsi"/>
          <w:b/>
          <w:bCs/>
          <w:sz w:val="20"/>
          <w:szCs w:val="20"/>
        </w:rPr>
      </w:pPr>
      <w:r>
        <w:rPr>
          <w:rFonts w:asciiTheme="minorHAnsi" w:hAnsiTheme="minorHAnsi" w:cstheme="minorHAnsi"/>
          <w:color w:val="1F3864" w:themeColor="accent1" w:themeShade="80"/>
          <w:sz w:val="20"/>
          <w:szCs w:val="20"/>
        </w:rPr>
        <w:t>Attendance</w:t>
      </w:r>
      <w:r w:rsidRPr="00624D02">
        <w:rPr>
          <w:rFonts w:asciiTheme="minorHAnsi" w:hAnsiTheme="minorHAnsi" w:cstheme="minorHAnsi"/>
          <w:b/>
          <w:bCs/>
          <w:sz w:val="20"/>
          <w:szCs w:val="20"/>
        </w:rPr>
        <w:t xml:space="preserve"> </w:t>
      </w:r>
    </w:p>
    <w:p w14:paraId="0B926CD0" w14:textId="205CD314" w:rsidR="00B83F69" w:rsidRPr="00624D02" w:rsidRDefault="00B83F69" w:rsidP="00CD1DB3">
      <w:pPr>
        <w:jc w:val="both"/>
        <w:rPr>
          <w:rFonts w:cstheme="minorHAnsi"/>
          <w:sz w:val="20"/>
          <w:szCs w:val="20"/>
        </w:rPr>
      </w:pPr>
      <w:r w:rsidRPr="00624D02">
        <w:rPr>
          <w:rFonts w:cstheme="minorHAnsi"/>
          <w:sz w:val="20"/>
          <w:szCs w:val="20"/>
        </w:rPr>
        <w:t xml:space="preserve">Attendance at all </w:t>
      </w:r>
      <w:r w:rsidR="00BF78FE" w:rsidRPr="00624D02">
        <w:rPr>
          <w:rFonts w:cstheme="minorHAnsi"/>
          <w:sz w:val="20"/>
          <w:szCs w:val="20"/>
        </w:rPr>
        <w:t>sessions</w:t>
      </w:r>
      <w:r w:rsidRPr="00624D02">
        <w:rPr>
          <w:rFonts w:cstheme="minorHAnsi"/>
          <w:sz w:val="20"/>
          <w:szCs w:val="20"/>
        </w:rPr>
        <w:t xml:space="preserve">, lectures, tutorials and workshops </w:t>
      </w:r>
      <w:r w:rsidRPr="00CD1DB3">
        <w:rPr>
          <w:rFonts w:cstheme="minorHAnsi"/>
          <w:i/>
          <w:iCs/>
          <w:sz w:val="20"/>
          <w:szCs w:val="20"/>
        </w:rPr>
        <w:t>must be regular and punctual</w:t>
      </w:r>
      <w:r w:rsidRPr="00624D02">
        <w:rPr>
          <w:rFonts w:cstheme="minorHAnsi"/>
          <w:sz w:val="20"/>
          <w:szCs w:val="20"/>
        </w:rPr>
        <w:t>. Holidays, part-time employment and personal appointments should be arranged so that attendance is not affected. Students are expected to provide appropriate documentation to explain all absences from classes.</w:t>
      </w:r>
    </w:p>
    <w:p w14:paraId="49555DDD" w14:textId="6AFEB7C1" w:rsidR="00CD1DB3" w:rsidRDefault="00B83F69" w:rsidP="00CD1DB3">
      <w:pPr>
        <w:jc w:val="both"/>
        <w:rPr>
          <w:rFonts w:cstheme="minorHAnsi"/>
          <w:sz w:val="20"/>
          <w:szCs w:val="20"/>
        </w:rPr>
      </w:pPr>
      <w:r w:rsidRPr="00624D02">
        <w:rPr>
          <w:rFonts w:cstheme="minorHAnsi"/>
          <w:sz w:val="20"/>
          <w:szCs w:val="20"/>
        </w:rPr>
        <w:t xml:space="preserve">A class </w:t>
      </w:r>
      <w:r w:rsidR="00A77E6A">
        <w:rPr>
          <w:rFonts w:cstheme="minorHAnsi"/>
          <w:sz w:val="20"/>
          <w:szCs w:val="20"/>
        </w:rPr>
        <w:t>attendance sheet for sign on</w:t>
      </w:r>
      <w:r w:rsidRPr="00624D02">
        <w:rPr>
          <w:rFonts w:cstheme="minorHAnsi"/>
          <w:sz w:val="20"/>
          <w:szCs w:val="20"/>
        </w:rPr>
        <w:t xml:space="preserve"> will be organised for each </w:t>
      </w:r>
      <w:r w:rsidR="00BF78FE" w:rsidRPr="00624D02">
        <w:rPr>
          <w:rFonts w:cstheme="minorHAnsi"/>
          <w:sz w:val="20"/>
          <w:szCs w:val="20"/>
        </w:rPr>
        <w:t>session</w:t>
      </w:r>
      <w:r w:rsidRPr="00624D02">
        <w:rPr>
          <w:rFonts w:cstheme="minorHAnsi"/>
          <w:sz w:val="20"/>
          <w:szCs w:val="20"/>
        </w:rPr>
        <w:t xml:space="preserve"> (lecture, tutorial or workshop). The </w:t>
      </w:r>
      <w:r w:rsidR="00BF78FE" w:rsidRPr="00624D02">
        <w:rPr>
          <w:rFonts w:cstheme="minorHAnsi"/>
          <w:sz w:val="20"/>
          <w:szCs w:val="20"/>
        </w:rPr>
        <w:t>educator</w:t>
      </w:r>
      <w:r w:rsidRPr="00624D02">
        <w:rPr>
          <w:rFonts w:cstheme="minorHAnsi"/>
          <w:sz w:val="20"/>
          <w:szCs w:val="20"/>
        </w:rPr>
        <w:t xml:space="preserve"> will make the class </w:t>
      </w:r>
      <w:r w:rsidR="00A77E6A">
        <w:rPr>
          <w:rFonts w:cstheme="minorHAnsi"/>
          <w:sz w:val="20"/>
          <w:szCs w:val="20"/>
        </w:rPr>
        <w:t>attendance sheet</w:t>
      </w:r>
      <w:r w:rsidRPr="00624D02">
        <w:rPr>
          <w:rFonts w:cstheme="minorHAnsi"/>
          <w:sz w:val="20"/>
          <w:szCs w:val="20"/>
        </w:rPr>
        <w:t xml:space="preserve"> available at the commencement of the class </w:t>
      </w:r>
      <w:r w:rsidRPr="00CD1DB3">
        <w:rPr>
          <w:rFonts w:cstheme="minorHAnsi"/>
          <w:i/>
          <w:iCs/>
          <w:sz w:val="20"/>
          <w:szCs w:val="20"/>
        </w:rPr>
        <w:t>and it is the student’s responsibility</w:t>
      </w:r>
      <w:r w:rsidRPr="00624D02">
        <w:rPr>
          <w:rFonts w:cstheme="minorHAnsi"/>
          <w:sz w:val="20"/>
          <w:szCs w:val="20"/>
        </w:rPr>
        <w:t xml:space="preserve"> </w:t>
      </w:r>
      <w:r w:rsidR="00BF78FE" w:rsidRPr="00624D02">
        <w:rPr>
          <w:rFonts w:cstheme="minorHAnsi"/>
          <w:sz w:val="20"/>
          <w:szCs w:val="20"/>
        </w:rPr>
        <w:t xml:space="preserve">(not the educator’s) </w:t>
      </w:r>
      <w:r w:rsidRPr="00624D02">
        <w:rPr>
          <w:rFonts w:cstheme="minorHAnsi"/>
          <w:sz w:val="20"/>
          <w:szCs w:val="20"/>
        </w:rPr>
        <w:t xml:space="preserve">to sign the </w:t>
      </w:r>
      <w:r w:rsidR="00A77E6A">
        <w:rPr>
          <w:rFonts w:cstheme="minorHAnsi"/>
          <w:sz w:val="20"/>
          <w:szCs w:val="20"/>
        </w:rPr>
        <w:t>attendance sheet</w:t>
      </w:r>
      <w:r w:rsidRPr="00624D02">
        <w:rPr>
          <w:rFonts w:cstheme="minorHAnsi"/>
          <w:sz w:val="20"/>
          <w:szCs w:val="20"/>
        </w:rPr>
        <w:t xml:space="preserve"> next to their name on arriv</w:t>
      </w:r>
      <w:r w:rsidR="00BF78FE" w:rsidRPr="00624D02">
        <w:rPr>
          <w:rFonts w:cstheme="minorHAnsi"/>
          <w:sz w:val="20"/>
          <w:szCs w:val="20"/>
        </w:rPr>
        <w:t>al to confirm their attendance</w:t>
      </w:r>
      <w:r w:rsidRPr="00624D02">
        <w:rPr>
          <w:rFonts w:cstheme="minorHAnsi"/>
          <w:sz w:val="20"/>
          <w:szCs w:val="20"/>
        </w:rPr>
        <w:t xml:space="preserve">. </w:t>
      </w:r>
      <w:r w:rsidR="00BF78FE" w:rsidRPr="00624D02">
        <w:rPr>
          <w:rFonts w:cstheme="minorHAnsi"/>
          <w:sz w:val="20"/>
          <w:szCs w:val="20"/>
        </w:rPr>
        <w:t>Educators</w:t>
      </w:r>
      <w:r w:rsidRPr="00624D02">
        <w:rPr>
          <w:rFonts w:cstheme="minorHAnsi"/>
          <w:sz w:val="20"/>
          <w:szCs w:val="20"/>
        </w:rPr>
        <w:t xml:space="preserve"> will not chase students for signature and students who have not signed the </w:t>
      </w:r>
      <w:r w:rsidR="00A77E6A">
        <w:rPr>
          <w:rFonts w:cstheme="minorHAnsi"/>
          <w:sz w:val="20"/>
          <w:szCs w:val="20"/>
        </w:rPr>
        <w:t xml:space="preserve">attendance sheet </w:t>
      </w:r>
      <w:r w:rsidRPr="00624D02">
        <w:rPr>
          <w:rFonts w:cstheme="minorHAnsi"/>
          <w:sz w:val="20"/>
          <w:szCs w:val="20"/>
        </w:rPr>
        <w:t xml:space="preserve">will be marked as absent. </w:t>
      </w:r>
    </w:p>
    <w:p w14:paraId="4AED1ABE" w14:textId="77777777" w:rsidR="00CD1DB3" w:rsidRDefault="00B83F69" w:rsidP="00CD1DB3">
      <w:pPr>
        <w:jc w:val="both"/>
        <w:rPr>
          <w:rFonts w:cstheme="minorHAnsi"/>
          <w:sz w:val="20"/>
          <w:szCs w:val="20"/>
        </w:rPr>
      </w:pPr>
      <w:r w:rsidRPr="00624D02">
        <w:rPr>
          <w:rFonts w:cstheme="minorHAnsi"/>
          <w:sz w:val="20"/>
          <w:szCs w:val="20"/>
        </w:rPr>
        <w:t xml:space="preserve">At the end of the </w:t>
      </w:r>
      <w:r w:rsidR="00BF78FE" w:rsidRPr="00624D02">
        <w:rPr>
          <w:rFonts w:cstheme="minorHAnsi"/>
          <w:sz w:val="20"/>
          <w:szCs w:val="20"/>
        </w:rPr>
        <w:t>session</w:t>
      </w:r>
      <w:r w:rsidRPr="00624D02">
        <w:rPr>
          <w:rFonts w:cstheme="minorHAnsi"/>
          <w:sz w:val="20"/>
          <w:szCs w:val="20"/>
        </w:rPr>
        <w:t xml:space="preserve">, the </w:t>
      </w:r>
      <w:r w:rsidR="00BF78FE" w:rsidRPr="00624D02">
        <w:rPr>
          <w:rFonts w:cstheme="minorHAnsi"/>
          <w:sz w:val="20"/>
          <w:szCs w:val="20"/>
        </w:rPr>
        <w:t>educator</w:t>
      </w:r>
      <w:r w:rsidRPr="00624D02">
        <w:rPr>
          <w:rFonts w:cstheme="minorHAnsi"/>
          <w:sz w:val="20"/>
          <w:szCs w:val="20"/>
        </w:rPr>
        <w:t xml:space="preserve"> will complete the number of hours that each student attended the </w:t>
      </w:r>
      <w:r w:rsidR="00BF78FE" w:rsidRPr="00624D02">
        <w:rPr>
          <w:rFonts w:cstheme="minorHAnsi"/>
          <w:sz w:val="20"/>
          <w:szCs w:val="20"/>
        </w:rPr>
        <w:t>session</w:t>
      </w:r>
      <w:r w:rsidRPr="00624D02">
        <w:rPr>
          <w:rFonts w:cstheme="minorHAnsi"/>
          <w:sz w:val="20"/>
          <w:szCs w:val="20"/>
        </w:rPr>
        <w:t xml:space="preserve"> to verify attendance and signs-off on the </w:t>
      </w:r>
      <w:r w:rsidR="00A77E6A">
        <w:rPr>
          <w:rFonts w:cstheme="minorHAnsi"/>
          <w:sz w:val="20"/>
          <w:szCs w:val="20"/>
        </w:rPr>
        <w:t xml:space="preserve">attendance sheet </w:t>
      </w:r>
      <w:r w:rsidRPr="00624D02">
        <w:rPr>
          <w:rFonts w:cstheme="minorHAnsi"/>
          <w:sz w:val="20"/>
          <w:szCs w:val="20"/>
        </w:rPr>
        <w:t xml:space="preserve">for entry into the student management system for each student. </w:t>
      </w:r>
    </w:p>
    <w:p w14:paraId="427A4CE8" w14:textId="48DC6A76" w:rsidR="00B83F69" w:rsidRPr="00624D02" w:rsidRDefault="00B83F69" w:rsidP="00CD1DB3">
      <w:pPr>
        <w:jc w:val="both"/>
        <w:rPr>
          <w:rFonts w:cstheme="minorHAnsi"/>
          <w:sz w:val="20"/>
          <w:szCs w:val="20"/>
        </w:rPr>
      </w:pPr>
      <w:r w:rsidRPr="00624D02">
        <w:rPr>
          <w:rFonts w:cstheme="minorHAnsi"/>
          <w:sz w:val="20"/>
          <w:szCs w:val="20"/>
        </w:rPr>
        <w:t>This becomes a student’s record of attendance.</w:t>
      </w:r>
    </w:p>
    <w:p w14:paraId="5FC11A96" w14:textId="77777777" w:rsidR="00CD1DB3" w:rsidRDefault="00B83F69" w:rsidP="00CD1DB3">
      <w:pPr>
        <w:jc w:val="both"/>
        <w:rPr>
          <w:rFonts w:cstheme="minorHAnsi"/>
          <w:sz w:val="20"/>
          <w:szCs w:val="20"/>
        </w:rPr>
      </w:pPr>
      <w:r w:rsidRPr="00624D02">
        <w:rPr>
          <w:rFonts w:cstheme="minorHAnsi"/>
          <w:sz w:val="20"/>
          <w:szCs w:val="20"/>
        </w:rPr>
        <w:lastRenderedPageBreak/>
        <w:t xml:space="preserve">Failure to attend an assessment or failure to submit by a due date must have an assessment consequence, the most serious being a </w:t>
      </w:r>
      <w:r w:rsidR="00BF78FE" w:rsidRPr="00624D02">
        <w:rPr>
          <w:rFonts w:cstheme="minorHAnsi"/>
          <w:sz w:val="20"/>
          <w:szCs w:val="20"/>
        </w:rPr>
        <w:t>result</w:t>
      </w:r>
      <w:r w:rsidRPr="00624D02">
        <w:rPr>
          <w:rFonts w:cstheme="minorHAnsi"/>
          <w:sz w:val="20"/>
          <w:szCs w:val="20"/>
        </w:rPr>
        <w:t xml:space="preserve"> of </w:t>
      </w:r>
      <w:r w:rsidR="00E96338" w:rsidRPr="00624D02">
        <w:rPr>
          <w:rFonts w:cstheme="minorHAnsi"/>
          <w:sz w:val="20"/>
          <w:szCs w:val="20"/>
        </w:rPr>
        <w:t>Not Competent</w:t>
      </w:r>
      <w:r w:rsidRPr="00624D02">
        <w:rPr>
          <w:rFonts w:cstheme="minorHAnsi"/>
          <w:sz w:val="20"/>
          <w:szCs w:val="20"/>
        </w:rPr>
        <w:t xml:space="preserve">. </w:t>
      </w:r>
    </w:p>
    <w:p w14:paraId="3C3B9136" w14:textId="0527B7C1" w:rsidR="00B83F69" w:rsidRDefault="00B83F69" w:rsidP="00CD1DB3">
      <w:pPr>
        <w:jc w:val="both"/>
        <w:rPr>
          <w:rFonts w:cstheme="minorHAnsi"/>
          <w:sz w:val="20"/>
          <w:szCs w:val="20"/>
        </w:rPr>
      </w:pPr>
      <w:r w:rsidRPr="00624D02">
        <w:rPr>
          <w:rFonts w:cstheme="minorHAnsi"/>
          <w:sz w:val="20"/>
          <w:szCs w:val="20"/>
        </w:rPr>
        <w:t xml:space="preserve">Where </w:t>
      </w:r>
      <w:r w:rsidRPr="00CD1DB3">
        <w:rPr>
          <w:rFonts w:cstheme="minorHAnsi"/>
          <w:i/>
          <w:iCs/>
          <w:sz w:val="20"/>
          <w:szCs w:val="20"/>
        </w:rPr>
        <w:t>failure to attend</w:t>
      </w:r>
      <w:r w:rsidRPr="00624D02">
        <w:rPr>
          <w:rFonts w:cstheme="minorHAnsi"/>
          <w:sz w:val="20"/>
          <w:szCs w:val="20"/>
        </w:rPr>
        <w:t xml:space="preserve"> impedes group work then it is permissible to exclude a student. Exclusion will result in a </w:t>
      </w:r>
      <w:r w:rsidR="00BF78FE" w:rsidRPr="00624D02">
        <w:rPr>
          <w:rFonts w:cstheme="minorHAnsi"/>
          <w:sz w:val="20"/>
          <w:szCs w:val="20"/>
        </w:rPr>
        <w:t xml:space="preserve">result of </w:t>
      </w:r>
      <w:r w:rsidR="00BF78FE" w:rsidRPr="00CD1DB3">
        <w:rPr>
          <w:rFonts w:cstheme="minorHAnsi"/>
          <w:i/>
          <w:iCs/>
          <w:sz w:val="20"/>
          <w:szCs w:val="20"/>
        </w:rPr>
        <w:t>Unsatisfactory</w:t>
      </w:r>
      <w:r w:rsidRPr="00624D02">
        <w:rPr>
          <w:rFonts w:cstheme="minorHAnsi"/>
          <w:sz w:val="20"/>
          <w:szCs w:val="20"/>
        </w:rPr>
        <w:t xml:space="preserve"> for the group assessment.</w:t>
      </w:r>
    </w:p>
    <w:p w14:paraId="27EE0E0E" w14:textId="32F40BD9" w:rsidR="00624D02" w:rsidRPr="00D440D4" w:rsidRDefault="00D440D4" w:rsidP="00D440D4">
      <w:pPr>
        <w:pStyle w:val="Heading5"/>
        <w:spacing w:before="0"/>
        <w:rPr>
          <w:rFonts w:asciiTheme="minorHAnsi" w:hAnsiTheme="minorHAnsi" w:cstheme="minorHAnsi"/>
          <w:color w:val="1F3864" w:themeColor="accent1" w:themeShade="80"/>
          <w:sz w:val="20"/>
          <w:szCs w:val="20"/>
        </w:rPr>
      </w:pPr>
      <w:r>
        <w:rPr>
          <w:rFonts w:asciiTheme="minorHAnsi" w:hAnsiTheme="minorHAnsi" w:cstheme="minorHAnsi"/>
          <w:color w:val="1F3864" w:themeColor="accent1" w:themeShade="80"/>
          <w:sz w:val="20"/>
          <w:szCs w:val="20"/>
        </w:rPr>
        <w:t>A</w:t>
      </w:r>
      <w:r w:rsidRPr="00D440D4">
        <w:rPr>
          <w:rFonts w:asciiTheme="minorHAnsi" w:hAnsiTheme="minorHAnsi" w:cstheme="minorHAnsi"/>
          <w:color w:val="1F3864" w:themeColor="accent1" w:themeShade="80"/>
          <w:sz w:val="20"/>
          <w:szCs w:val="20"/>
        </w:rPr>
        <w:t>bsences</w:t>
      </w:r>
    </w:p>
    <w:p w14:paraId="543E9936" w14:textId="43A769AD" w:rsidR="00B83F69" w:rsidRDefault="0072796C" w:rsidP="00624D02">
      <w:pPr>
        <w:pStyle w:val="BodyText"/>
        <w:spacing w:before="0"/>
        <w:ind w:left="193" w:hanging="193"/>
        <w:rPr>
          <w:rFonts w:asciiTheme="minorHAnsi" w:hAnsiTheme="minorHAnsi" w:cstheme="minorHAnsi"/>
          <w:spacing w:val="-1"/>
        </w:rPr>
      </w:pPr>
      <w:r w:rsidRPr="00624D02">
        <w:rPr>
          <w:rFonts w:asciiTheme="minorHAnsi" w:hAnsiTheme="minorHAnsi" w:cstheme="minorHAnsi"/>
        </w:rPr>
        <w:t xml:space="preserve"> </w:t>
      </w:r>
      <w:r w:rsidR="00B83F69" w:rsidRPr="00624D02">
        <w:rPr>
          <w:rFonts w:asciiTheme="minorHAnsi" w:hAnsiTheme="minorHAnsi" w:cstheme="minorHAnsi"/>
        </w:rPr>
        <w:t>Students</w:t>
      </w:r>
      <w:r w:rsidR="00B83F69" w:rsidRPr="00624D02">
        <w:rPr>
          <w:rFonts w:asciiTheme="minorHAnsi" w:hAnsiTheme="minorHAnsi" w:cstheme="minorHAnsi"/>
          <w:spacing w:val="-1"/>
        </w:rPr>
        <w:t xml:space="preserve"> are</w:t>
      </w:r>
      <w:r w:rsidR="00B83F69" w:rsidRPr="00624D02">
        <w:rPr>
          <w:rFonts w:asciiTheme="minorHAnsi" w:hAnsiTheme="minorHAnsi" w:cstheme="minorHAnsi"/>
          <w:spacing w:val="-2"/>
        </w:rPr>
        <w:t xml:space="preserve"> </w:t>
      </w:r>
      <w:r w:rsidR="00B83F69" w:rsidRPr="00624D02">
        <w:rPr>
          <w:rFonts w:asciiTheme="minorHAnsi" w:hAnsiTheme="minorHAnsi" w:cstheme="minorHAnsi"/>
          <w:spacing w:val="-1"/>
        </w:rPr>
        <w:t xml:space="preserve">expected </w:t>
      </w:r>
      <w:r w:rsidR="00B83F69" w:rsidRPr="00624D02">
        <w:rPr>
          <w:rFonts w:asciiTheme="minorHAnsi" w:hAnsiTheme="minorHAnsi" w:cstheme="minorHAnsi"/>
        </w:rPr>
        <w:t>to</w:t>
      </w:r>
      <w:r w:rsidR="00B83F69" w:rsidRPr="00624D02">
        <w:rPr>
          <w:rFonts w:asciiTheme="minorHAnsi" w:hAnsiTheme="minorHAnsi" w:cstheme="minorHAnsi"/>
          <w:spacing w:val="-1"/>
        </w:rPr>
        <w:t xml:space="preserve"> </w:t>
      </w:r>
      <w:r w:rsidR="00B83F69" w:rsidRPr="00624D02">
        <w:rPr>
          <w:rFonts w:asciiTheme="minorHAnsi" w:hAnsiTheme="minorHAnsi" w:cstheme="minorHAnsi"/>
        </w:rPr>
        <w:t>provide</w:t>
      </w:r>
      <w:r w:rsidR="00B83F69" w:rsidRPr="00624D02">
        <w:rPr>
          <w:rFonts w:asciiTheme="minorHAnsi" w:hAnsiTheme="minorHAnsi" w:cstheme="minorHAnsi"/>
          <w:spacing w:val="-1"/>
        </w:rPr>
        <w:t xml:space="preserve"> appropriate documentation </w:t>
      </w:r>
      <w:r w:rsidR="00B83F69" w:rsidRPr="00624D02">
        <w:rPr>
          <w:rFonts w:asciiTheme="minorHAnsi" w:hAnsiTheme="minorHAnsi" w:cstheme="minorHAnsi"/>
        </w:rPr>
        <w:t>to</w:t>
      </w:r>
      <w:r w:rsidR="00B83F69" w:rsidRPr="00624D02">
        <w:rPr>
          <w:rFonts w:asciiTheme="minorHAnsi" w:hAnsiTheme="minorHAnsi" w:cstheme="minorHAnsi"/>
          <w:spacing w:val="-1"/>
        </w:rPr>
        <w:t xml:space="preserve"> explain </w:t>
      </w:r>
      <w:r w:rsidR="00B83F69" w:rsidRPr="00624D02">
        <w:rPr>
          <w:rFonts w:asciiTheme="minorHAnsi" w:hAnsiTheme="minorHAnsi" w:cstheme="minorHAnsi"/>
        </w:rPr>
        <w:t>all</w:t>
      </w:r>
      <w:r w:rsidR="00B83F69" w:rsidRPr="00624D02">
        <w:rPr>
          <w:rFonts w:asciiTheme="minorHAnsi" w:hAnsiTheme="minorHAnsi" w:cstheme="minorHAnsi"/>
          <w:spacing w:val="-1"/>
        </w:rPr>
        <w:t xml:space="preserve"> absences</w:t>
      </w:r>
      <w:r w:rsidR="00B83F69" w:rsidRPr="00624D02">
        <w:rPr>
          <w:rFonts w:asciiTheme="minorHAnsi" w:hAnsiTheme="minorHAnsi" w:cstheme="minorHAnsi"/>
        </w:rPr>
        <w:t xml:space="preserve"> from</w:t>
      </w:r>
      <w:r w:rsidR="00B83F69" w:rsidRPr="00624D02">
        <w:rPr>
          <w:rFonts w:asciiTheme="minorHAnsi" w:hAnsiTheme="minorHAnsi" w:cstheme="minorHAnsi"/>
          <w:spacing w:val="-1"/>
        </w:rPr>
        <w:t xml:space="preserve"> </w:t>
      </w:r>
      <w:r w:rsidR="00BF78FE" w:rsidRPr="00624D02">
        <w:rPr>
          <w:rFonts w:asciiTheme="minorHAnsi" w:hAnsiTheme="minorHAnsi" w:cstheme="minorHAnsi"/>
          <w:spacing w:val="-1"/>
        </w:rPr>
        <w:t>sessions</w:t>
      </w:r>
      <w:r w:rsidR="00B83F69" w:rsidRPr="00624D02">
        <w:rPr>
          <w:rFonts w:asciiTheme="minorHAnsi" w:hAnsiTheme="minorHAnsi" w:cstheme="minorHAnsi"/>
          <w:spacing w:val="-1"/>
        </w:rPr>
        <w:t>:</w:t>
      </w:r>
    </w:p>
    <w:p w14:paraId="5A0C105E" w14:textId="68EF5329" w:rsidR="009B31FC" w:rsidRPr="004E714F" w:rsidRDefault="00B83F69" w:rsidP="004E714F">
      <w:pPr>
        <w:pStyle w:val="ListParagraph"/>
        <w:numPr>
          <w:ilvl w:val="0"/>
          <w:numId w:val="6"/>
        </w:numPr>
        <w:jc w:val="both"/>
        <w:rPr>
          <w:rFonts w:cstheme="minorHAnsi"/>
          <w:sz w:val="20"/>
          <w:szCs w:val="20"/>
        </w:rPr>
      </w:pPr>
      <w:r w:rsidRPr="00D440D4">
        <w:rPr>
          <w:rFonts w:cstheme="minorHAnsi"/>
          <w:sz w:val="20"/>
          <w:szCs w:val="20"/>
        </w:rPr>
        <w:t>Students</w:t>
      </w:r>
      <w:r w:rsidRPr="004E714F">
        <w:rPr>
          <w:rFonts w:cstheme="minorHAnsi"/>
          <w:sz w:val="20"/>
          <w:szCs w:val="20"/>
        </w:rPr>
        <w:t xml:space="preserve"> unable </w:t>
      </w:r>
      <w:r w:rsidRPr="00D440D4">
        <w:rPr>
          <w:rFonts w:cstheme="minorHAnsi"/>
          <w:sz w:val="20"/>
          <w:szCs w:val="20"/>
        </w:rPr>
        <w:t>to</w:t>
      </w:r>
      <w:r w:rsidRPr="004E714F">
        <w:rPr>
          <w:rFonts w:cstheme="minorHAnsi"/>
          <w:sz w:val="20"/>
          <w:szCs w:val="20"/>
        </w:rPr>
        <w:t xml:space="preserve"> </w:t>
      </w:r>
      <w:r w:rsidRPr="00D440D4">
        <w:rPr>
          <w:rFonts w:cstheme="minorHAnsi"/>
          <w:sz w:val="20"/>
          <w:szCs w:val="20"/>
        </w:rPr>
        <w:t>attend</w:t>
      </w:r>
      <w:r w:rsidRPr="004E714F">
        <w:rPr>
          <w:rFonts w:cstheme="minorHAnsi"/>
          <w:sz w:val="20"/>
          <w:szCs w:val="20"/>
        </w:rPr>
        <w:t xml:space="preserve"> </w:t>
      </w:r>
      <w:r w:rsidRPr="00D440D4">
        <w:rPr>
          <w:rFonts w:cstheme="minorHAnsi"/>
          <w:sz w:val="20"/>
          <w:szCs w:val="20"/>
        </w:rPr>
        <w:t>a</w:t>
      </w:r>
      <w:r w:rsidRPr="004E714F">
        <w:rPr>
          <w:rFonts w:cstheme="minorHAnsi"/>
          <w:sz w:val="20"/>
          <w:szCs w:val="20"/>
        </w:rPr>
        <w:t xml:space="preserve"> </w:t>
      </w:r>
      <w:r w:rsidRPr="00D440D4">
        <w:rPr>
          <w:rFonts w:cstheme="minorHAnsi"/>
          <w:sz w:val="20"/>
          <w:szCs w:val="20"/>
        </w:rPr>
        <w:t>timetabled</w:t>
      </w:r>
      <w:r w:rsidRPr="004E714F">
        <w:rPr>
          <w:rFonts w:cstheme="minorHAnsi"/>
          <w:sz w:val="20"/>
          <w:szCs w:val="20"/>
        </w:rPr>
        <w:t xml:space="preserve"> </w:t>
      </w:r>
      <w:r w:rsidR="00BF78FE" w:rsidRPr="004E714F">
        <w:rPr>
          <w:rFonts w:cstheme="minorHAnsi"/>
          <w:sz w:val="20"/>
          <w:szCs w:val="20"/>
        </w:rPr>
        <w:t>session</w:t>
      </w:r>
      <w:r w:rsidRPr="004E714F">
        <w:rPr>
          <w:rFonts w:cstheme="minorHAnsi"/>
          <w:sz w:val="20"/>
          <w:szCs w:val="20"/>
        </w:rPr>
        <w:t xml:space="preserve"> </w:t>
      </w:r>
      <w:r w:rsidRPr="004E714F">
        <w:rPr>
          <w:rFonts w:cstheme="minorHAnsi"/>
          <w:i/>
          <w:iCs/>
          <w:sz w:val="20"/>
          <w:szCs w:val="20"/>
          <w:u w:val="single"/>
        </w:rPr>
        <w:t>due to illness</w:t>
      </w:r>
      <w:r w:rsidRPr="004E714F">
        <w:rPr>
          <w:rFonts w:cstheme="minorHAnsi"/>
          <w:sz w:val="20"/>
          <w:szCs w:val="20"/>
        </w:rPr>
        <w:t xml:space="preserve"> will be </w:t>
      </w:r>
      <w:r w:rsidRPr="004147FF">
        <w:rPr>
          <w:rFonts w:cstheme="minorHAnsi"/>
          <w:sz w:val="20"/>
          <w:szCs w:val="20"/>
        </w:rPr>
        <w:t>required</w:t>
      </w:r>
      <w:r w:rsidRPr="004E714F">
        <w:rPr>
          <w:rFonts w:cstheme="minorHAnsi"/>
          <w:sz w:val="20"/>
          <w:szCs w:val="20"/>
        </w:rPr>
        <w:t xml:space="preserve"> </w:t>
      </w:r>
      <w:r w:rsidRPr="004147FF">
        <w:rPr>
          <w:rFonts w:cstheme="minorHAnsi"/>
          <w:sz w:val="20"/>
          <w:szCs w:val="20"/>
        </w:rPr>
        <w:t>to</w:t>
      </w:r>
      <w:r w:rsidRPr="004E714F">
        <w:rPr>
          <w:rFonts w:cstheme="minorHAnsi"/>
          <w:sz w:val="20"/>
          <w:szCs w:val="20"/>
        </w:rPr>
        <w:t xml:space="preserve"> submit </w:t>
      </w:r>
      <w:r w:rsidR="004147FF" w:rsidRPr="004E714F">
        <w:rPr>
          <w:rFonts w:cstheme="minorHAnsi"/>
          <w:sz w:val="20"/>
          <w:szCs w:val="20"/>
        </w:rPr>
        <w:t xml:space="preserve">a </w:t>
      </w:r>
      <w:r w:rsidRPr="004147FF">
        <w:rPr>
          <w:rFonts w:cstheme="minorHAnsi"/>
          <w:sz w:val="20"/>
          <w:szCs w:val="20"/>
        </w:rPr>
        <w:t>medical</w:t>
      </w:r>
      <w:r w:rsidRPr="004E714F">
        <w:rPr>
          <w:rFonts w:cstheme="minorHAnsi"/>
          <w:sz w:val="20"/>
          <w:szCs w:val="20"/>
        </w:rPr>
        <w:t xml:space="preserve"> </w:t>
      </w:r>
      <w:r w:rsidRPr="004147FF">
        <w:rPr>
          <w:rFonts w:cstheme="minorHAnsi"/>
          <w:sz w:val="20"/>
          <w:szCs w:val="20"/>
        </w:rPr>
        <w:t>certificate</w:t>
      </w:r>
      <w:r w:rsidRPr="004E714F">
        <w:rPr>
          <w:rFonts w:cstheme="minorHAnsi"/>
          <w:sz w:val="20"/>
          <w:szCs w:val="20"/>
        </w:rPr>
        <w:t xml:space="preserve"> duly completed</w:t>
      </w:r>
      <w:r w:rsidRPr="004147FF">
        <w:rPr>
          <w:rFonts w:cstheme="minorHAnsi"/>
          <w:sz w:val="20"/>
          <w:szCs w:val="20"/>
        </w:rPr>
        <w:t xml:space="preserve"> by</w:t>
      </w:r>
      <w:r w:rsidRPr="004E714F">
        <w:rPr>
          <w:rFonts w:cstheme="minorHAnsi"/>
          <w:sz w:val="20"/>
          <w:szCs w:val="20"/>
        </w:rPr>
        <w:t xml:space="preserve"> </w:t>
      </w:r>
      <w:r w:rsidRPr="004147FF">
        <w:rPr>
          <w:rFonts w:cstheme="minorHAnsi"/>
          <w:sz w:val="20"/>
          <w:szCs w:val="20"/>
        </w:rPr>
        <w:t>a</w:t>
      </w:r>
      <w:r w:rsidRPr="004E714F">
        <w:rPr>
          <w:rFonts w:cstheme="minorHAnsi"/>
          <w:sz w:val="20"/>
          <w:szCs w:val="20"/>
        </w:rPr>
        <w:t xml:space="preserve"> registered medical practitioner</w:t>
      </w:r>
      <w:r w:rsidR="004147FF" w:rsidRPr="004E714F">
        <w:rPr>
          <w:rFonts w:cstheme="minorHAnsi"/>
          <w:sz w:val="20"/>
          <w:szCs w:val="20"/>
        </w:rPr>
        <w:t xml:space="preserve">, </w:t>
      </w:r>
      <w:r w:rsidRPr="004147FF">
        <w:rPr>
          <w:rFonts w:cstheme="minorHAnsi"/>
          <w:sz w:val="20"/>
          <w:szCs w:val="20"/>
        </w:rPr>
        <w:t>to</w:t>
      </w:r>
      <w:r w:rsidRPr="004E714F">
        <w:rPr>
          <w:rFonts w:cstheme="minorHAnsi"/>
          <w:sz w:val="20"/>
          <w:szCs w:val="20"/>
        </w:rPr>
        <w:t xml:space="preserve"> </w:t>
      </w:r>
      <w:r w:rsidR="009B31FC" w:rsidRPr="004147FF">
        <w:rPr>
          <w:rFonts w:cstheme="minorHAnsi"/>
          <w:sz w:val="20"/>
          <w:szCs w:val="20"/>
        </w:rPr>
        <w:t xml:space="preserve">Student Services </w:t>
      </w:r>
      <w:r w:rsidRPr="004147FF">
        <w:rPr>
          <w:rFonts w:cstheme="minorHAnsi"/>
          <w:sz w:val="20"/>
          <w:szCs w:val="20"/>
        </w:rPr>
        <w:t>within</w:t>
      </w:r>
      <w:r w:rsidRPr="004E714F">
        <w:rPr>
          <w:rFonts w:cstheme="minorHAnsi"/>
          <w:sz w:val="20"/>
          <w:szCs w:val="20"/>
        </w:rPr>
        <w:t xml:space="preserve"> seven </w:t>
      </w:r>
      <w:r w:rsidR="00BF78FE" w:rsidRPr="004E714F">
        <w:rPr>
          <w:rFonts w:cstheme="minorHAnsi"/>
          <w:sz w:val="20"/>
          <w:szCs w:val="20"/>
        </w:rPr>
        <w:t xml:space="preserve">(7) </w:t>
      </w:r>
      <w:r w:rsidRPr="004147FF">
        <w:rPr>
          <w:rFonts w:cstheme="minorHAnsi"/>
          <w:sz w:val="20"/>
          <w:szCs w:val="20"/>
        </w:rPr>
        <w:t>days</w:t>
      </w:r>
      <w:r w:rsidRPr="004E714F">
        <w:rPr>
          <w:rFonts w:cstheme="minorHAnsi"/>
          <w:sz w:val="20"/>
          <w:szCs w:val="20"/>
        </w:rPr>
        <w:t xml:space="preserve"> of </w:t>
      </w:r>
      <w:r w:rsidRPr="004147FF">
        <w:rPr>
          <w:rFonts w:cstheme="minorHAnsi"/>
          <w:sz w:val="20"/>
          <w:szCs w:val="20"/>
        </w:rPr>
        <w:t>the</w:t>
      </w:r>
      <w:r w:rsidRPr="004E714F">
        <w:rPr>
          <w:rFonts w:cstheme="minorHAnsi"/>
          <w:sz w:val="20"/>
          <w:szCs w:val="20"/>
        </w:rPr>
        <w:t xml:space="preserve"> </w:t>
      </w:r>
      <w:r w:rsidRPr="004147FF">
        <w:rPr>
          <w:rFonts w:cstheme="minorHAnsi"/>
          <w:sz w:val="20"/>
          <w:szCs w:val="20"/>
        </w:rPr>
        <w:t>missed</w:t>
      </w:r>
      <w:r w:rsidRPr="004E714F">
        <w:rPr>
          <w:rFonts w:cstheme="minorHAnsi"/>
          <w:sz w:val="20"/>
          <w:szCs w:val="20"/>
        </w:rPr>
        <w:t xml:space="preserve"> </w:t>
      </w:r>
      <w:r w:rsidR="00BF78FE" w:rsidRPr="004E714F">
        <w:rPr>
          <w:rFonts w:cstheme="minorHAnsi"/>
          <w:sz w:val="20"/>
          <w:szCs w:val="20"/>
        </w:rPr>
        <w:t>session or assessment</w:t>
      </w:r>
      <w:r w:rsidRPr="004E714F">
        <w:rPr>
          <w:rFonts w:cstheme="minorHAnsi"/>
          <w:sz w:val="20"/>
          <w:szCs w:val="20"/>
        </w:rPr>
        <w:t xml:space="preserve">. </w:t>
      </w:r>
    </w:p>
    <w:p w14:paraId="0B49EFCF" w14:textId="7940EB85" w:rsidR="004F2D91" w:rsidRPr="005F71A6" w:rsidRDefault="00B83F69" w:rsidP="004E714F">
      <w:pPr>
        <w:pStyle w:val="ListParagraph"/>
        <w:numPr>
          <w:ilvl w:val="0"/>
          <w:numId w:val="6"/>
        </w:numPr>
        <w:jc w:val="both"/>
        <w:rPr>
          <w:rFonts w:cstheme="minorHAnsi"/>
          <w:sz w:val="20"/>
          <w:szCs w:val="20"/>
        </w:rPr>
      </w:pPr>
      <w:r w:rsidRPr="005F71A6">
        <w:rPr>
          <w:rFonts w:cstheme="minorHAnsi"/>
          <w:sz w:val="20"/>
          <w:szCs w:val="20"/>
        </w:rPr>
        <w:t xml:space="preserve">Students unable to submit an assessment or </w:t>
      </w:r>
      <w:r w:rsidR="00BF78FE" w:rsidRPr="005F71A6">
        <w:rPr>
          <w:rFonts w:cstheme="minorHAnsi"/>
          <w:sz w:val="20"/>
          <w:szCs w:val="20"/>
        </w:rPr>
        <w:t>attend an assessment activity</w:t>
      </w:r>
      <w:r w:rsidRPr="005F71A6">
        <w:rPr>
          <w:rFonts w:cstheme="minorHAnsi"/>
          <w:sz w:val="20"/>
          <w:szCs w:val="20"/>
        </w:rPr>
        <w:t xml:space="preserve"> </w:t>
      </w:r>
      <w:r w:rsidRPr="005F71A6">
        <w:rPr>
          <w:rFonts w:cstheme="minorHAnsi"/>
          <w:i/>
          <w:iCs/>
          <w:sz w:val="20"/>
          <w:szCs w:val="20"/>
          <w:u w:val="single"/>
        </w:rPr>
        <w:t>due to compassionate or compelling circumstances</w:t>
      </w:r>
      <w:r w:rsidRPr="005F71A6">
        <w:rPr>
          <w:rFonts w:cstheme="minorHAnsi"/>
          <w:sz w:val="20"/>
          <w:szCs w:val="20"/>
        </w:rPr>
        <w:t>, i</w:t>
      </w:r>
      <w:r w:rsidR="006D1271" w:rsidRPr="005F71A6">
        <w:rPr>
          <w:rFonts w:cstheme="minorHAnsi"/>
          <w:sz w:val="20"/>
          <w:szCs w:val="20"/>
        </w:rPr>
        <w:t>.</w:t>
      </w:r>
      <w:r w:rsidRPr="005F71A6">
        <w:rPr>
          <w:rFonts w:cstheme="minorHAnsi"/>
          <w:sz w:val="20"/>
          <w:szCs w:val="20"/>
        </w:rPr>
        <w:t>e</w:t>
      </w:r>
      <w:r w:rsidR="006D1271" w:rsidRPr="005F71A6">
        <w:rPr>
          <w:rFonts w:cstheme="minorHAnsi"/>
          <w:sz w:val="20"/>
          <w:szCs w:val="20"/>
        </w:rPr>
        <w:t>.</w:t>
      </w:r>
      <w:r w:rsidRPr="005F71A6">
        <w:rPr>
          <w:rFonts w:cstheme="minorHAnsi"/>
          <w:sz w:val="20"/>
          <w:szCs w:val="20"/>
        </w:rPr>
        <w:t xml:space="preserve"> circumstances of serious illness or misadventure beyond their control, may be eligible for special consideration.</w:t>
      </w:r>
      <w:r w:rsidR="00D440D4" w:rsidRPr="005F71A6">
        <w:rPr>
          <w:rFonts w:cstheme="minorHAnsi"/>
          <w:sz w:val="20"/>
          <w:szCs w:val="20"/>
        </w:rPr>
        <w:t xml:space="preserve"> </w:t>
      </w:r>
      <w:r w:rsidR="00C25127" w:rsidRPr="005F71A6">
        <w:rPr>
          <w:rFonts w:cstheme="minorHAnsi"/>
          <w:sz w:val="20"/>
          <w:szCs w:val="20"/>
        </w:rPr>
        <w:t xml:space="preserve">The student must submit a written request to Fox’s Student Services with a completed </w:t>
      </w:r>
      <w:r w:rsidR="00780488" w:rsidRPr="00780488">
        <w:rPr>
          <w:rFonts w:cstheme="minorHAnsi"/>
          <w:i/>
          <w:iCs/>
          <w:sz w:val="20"/>
          <w:szCs w:val="20"/>
        </w:rPr>
        <w:t xml:space="preserve">An </w:t>
      </w:r>
      <w:hyperlink r:id="rId7" w:history="1">
        <w:r w:rsidR="00780488" w:rsidRPr="00780488">
          <w:rPr>
            <w:rStyle w:val="Hyperlink"/>
            <w:rFonts w:cstheme="minorHAnsi"/>
            <w:i/>
            <w:iCs/>
            <w:sz w:val="20"/>
            <w:szCs w:val="20"/>
          </w:rPr>
          <w:t>Application for Special Consideration Form</w:t>
        </w:r>
      </w:hyperlink>
      <w:r w:rsidR="00780488">
        <w:rPr>
          <w:rFonts w:cstheme="minorHAnsi"/>
          <w:i/>
          <w:iCs/>
          <w:sz w:val="20"/>
          <w:szCs w:val="20"/>
        </w:rPr>
        <w:t xml:space="preserve"> </w:t>
      </w:r>
      <w:r w:rsidR="005F71A6" w:rsidRPr="005F71A6">
        <w:rPr>
          <w:sz w:val="20"/>
          <w:szCs w:val="20"/>
        </w:rPr>
        <w:t>with the appropriate supporting documentation attached, must be lodged with Administration within three (3) working days of the missed assessment.</w:t>
      </w:r>
      <w:r w:rsidR="005F71A6">
        <w:rPr>
          <w:sz w:val="20"/>
          <w:szCs w:val="20"/>
        </w:rPr>
        <w:t xml:space="preserve"> </w:t>
      </w:r>
      <w:r w:rsidR="00C25127" w:rsidRPr="005F71A6">
        <w:rPr>
          <w:rFonts w:cstheme="minorHAnsi"/>
          <w:sz w:val="20"/>
          <w:szCs w:val="20"/>
        </w:rPr>
        <w:t>The form must include a clear, detailed explanation of their situation and indicate when they expect to resume studies. Special consideration will only be assessed once all required documents are received.</w:t>
      </w:r>
    </w:p>
    <w:p w14:paraId="16C2CDB2" w14:textId="28C67F39" w:rsidR="00B83F69" w:rsidRPr="00F23BB5" w:rsidRDefault="0072796C" w:rsidP="00F23BB5">
      <w:pPr>
        <w:jc w:val="both"/>
        <w:rPr>
          <w:rFonts w:cstheme="minorHAnsi"/>
          <w:sz w:val="20"/>
          <w:szCs w:val="20"/>
        </w:rPr>
      </w:pPr>
      <w:bookmarkStart w:id="1" w:name="_Hlk44353148"/>
      <w:r w:rsidRPr="00F23BB5">
        <w:rPr>
          <w:rFonts w:cstheme="minorHAnsi"/>
          <w:sz w:val="20"/>
          <w:szCs w:val="20"/>
        </w:rPr>
        <w:t xml:space="preserve"> </w:t>
      </w:r>
      <w:r w:rsidR="00B83F69" w:rsidRPr="00F23BB5">
        <w:rPr>
          <w:rFonts w:cstheme="minorHAnsi"/>
          <w:sz w:val="20"/>
          <w:szCs w:val="20"/>
        </w:rPr>
        <w:t>In accordance with Standard</w:t>
      </w:r>
      <w:r w:rsidR="00CE3AA5" w:rsidRPr="00F23BB5">
        <w:rPr>
          <w:rFonts w:cstheme="minorHAnsi"/>
          <w:sz w:val="20"/>
          <w:szCs w:val="20"/>
        </w:rPr>
        <w:t xml:space="preserve"> 8 </w:t>
      </w:r>
      <w:r w:rsidR="00B83F69" w:rsidRPr="00F23BB5">
        <w:rPr>
          <w:rFonts w:cstheme="minorHAnsi"/>
          <w:sz w:val="20"/>
          <w:szCs w:val="20"/>
        </w:rPr>
        <w:t>of the National Code 20</w:t>
      </w:r>
      <w:r w:rsidR="00ED7E04" w:rsidRPr="00F23BB5">
        <w:rPr>
          <w:rFonts w:cstheme="minorHAnsi"/>
          <w:sz w:val="20"/>
          <w:szCs w:val="20"/>
        </w:rPr>
        <w:t>18</w:t>
      </w:r>
      <w:r w:rsidR="00B83F69" w:rsidRPr="00F23BB5">
        <w:rPr>
          <w:rFonts w:cstheme="minorHAnsi"/>
          <w:sz w:val="20"/>
          <w:szCs w:val="20"/>
        </w:rPr>
        <w:t xml:space="preserve">, international students are required to achieve satisfactory academic progress during each </w:t>
      </w:r>
      <w:r w:rsidR="00224949" w:rsidRPr="00F23BB5">
        <w:rPr>
          <w:rFonts w:cstheme="minorHAnsi"/>
          <w:sz w:val="20"/>
          <w:szCs w:val="20"/>
        </w:rPr>
        <w:t>study period</w:t>
      </w:r>
      <w:r w:rsidR="00B83F69" w:rsidRPr="00F23BB5">
        <w:rPr>
          <w:rFonts w:cstheme="minorHAnsi"/>
          <w:sz w:val="20"/>
          <w:szCs w:val="20"/>
        </w:rPr>
        <w:t xml:space="preserve"> in order to successfully complete their course of study within the expected duration as specified in their Confirmation of Enrolment (CoE) and the conditions of their student visa issued by the D</w:t>
      </w:r>
      <w:r w:rsidR="00CE3AA5" w:rsidRPr="00F23BB5">
        <w:rPr>
          <w:rFonts w:cstheme="minorHAnsi"/>
          <w:sz w:val="20"/>
          <w:szCs w:val="20"/>
        </w:rPr>
        <w:t>HA</w:t>
      </w:r>
      <w:r w:rsidR="00B83F69" w:rsidRPr="00F23BB5">
        <w:rPr>
          <w:rFonts w:cstheme="minorHAnsi"/>
          <w:sz w:val="20"/>
          <w:szCs w:val="20"/>
        </w:rPr>
        <w:t>.</w:t>
      </w:r>
    </w:p>
    <w:p w14:paraId="6D68E065" w14:textId="58890B8A" w:rsidR="00750032" w:rsidRPr="00D440D4" w:rsidRDefault="00750032" w:rsidP="00750032">
      <w:pPr>
        <w:pStyle w:val="Heading5"/>
        <w:spacing w:before="0"/>
        <w:rPr>
          <w:rFonts w:asciiTheme="minorHAnsi" w:hAnsiTheme="minorHAnsi" w:cstheme="minorHAnsi"/>
          <w:color w:val="1F3864" w:themeColor="accent1" w:themeShade="80"/>
          <w:sz w:val="20"/>
          <w:szCs w:val="20"/>
        </w:rPr>
      </w:pPr>
      <w:r>
        <w:rPr>
          <w:rFonts w:asciiTheme="minorHAnsi" w:hAnsiTheme="minorHAnsi" w:cstheme="minorHAnsi"/>
          <w:color w:val="1F3864" w:themeColor="accent1" w:themeShade="80"/>
          <w:sz w:val="20"/>
          <w:szCs w:val="20"/>
        </w:rPr>
        <w:t>Course Progress</w:t>
      </w:r>
    </w:p>
    <w:bookmarkEnd w:id="1"/>
    <w:p w14:paraId="72ED5E31" w14:textId="27B7D309" w:rsidR="00DC3B1D" w:rsidRPr="00624D02" w:rsidRDefault="00B83F69" w:rsidP="00750032">
      <w:pPr>
        <w:jc w:val="both"/>
        <w:rPr>
          <w:rFonts w:cstheme="minorHAnsi"/>
          <w:sz w:val="20"/>
          <w:szCs w:val="20"/>
        </w:rPr>
      </w:pPr>
      <w:r w:rsidRPr="00624D02">
        <w:rPr>
          <w:rFonts w:cstheme="minorHAnsi"/>
          <w:sz w:val="20"/>
          <w:szCs w:val="20"/>
        </w:rPr>
        <w:t xml:space="preserve">Course progress is </w:t>
      </w:r>
      <w:r w:rsidRPr="00750032">
        <w:rPr>
          <w:rFonts w:cstheme="minorHAnsi"/>
          <w:sz w:val="20"/>
          <w:szCs w:val="20"/>
        </w:rPr>
        <w:t>monitored, recorded and assessed</w:t>
      </w:r>
      <w:r w:rsidRPr="00624D02">
        <w:rPr>
          <w:rFonts w:cstheme="minorHAnsi"/>
          <w:sz w:val="20"/>
          <w:szCs w:val="20"/>
        </w:rPr>
        <w:t xml:space="preserve"> throughout the </w:t>
      </w:r>
      <w:r w:rsidR="00224949" w:rsidRPr="00624D02">
        <w:rPr>
          <w:rFonts w:cstheme="minorHAnsi"/>
          <w:sz w:val="20"/>
          <w:szCs w:val="20"/>
        </w:rPr>
        <w:t>course</w:t>
      </w:r>
      <w:r w:rsidRPr="00624D02">
        <w:rPr>
          <w:rFonts w:cstheme="minorHAnsi"/>
          <w:sz w:val="20"/>
          <w:szCs w:val="20"/>
        </w:rPr>
        <w:t xml:space="preserve"> and as part of the formal moderation of results at the end of each </w:t>
      </w:r>
      <w:r w:rsidR="00BF78FE" w:rsidRPr="00624D02">
        <w:rPr>
          <w:rFonts w:cstheme="minorHAnsi"/>
          <w:sz w:val="20"/>
          <w:szCs w:val="20"/>
        </w:rPr>
        <w:t>study period</w:t>
      </w:r>
      <w:r w:rsidRPr="00624D02">
        <w:rPr>
          <w:rFonts w:cstheme="minorHAnsi"/>
          <w:sz w:val="20"/>
          <w:szCs w:val="20"/>
        </w:rPr>
        <w:t xml:space="preserve">. A series of </w:t>
      </w:r>
      <w:r w:rsidR="006868D0" w:rsidRPr="00624D02">
        <w:rPr>
          <w:rFonts w:cstheme="minorHAnsi"/>
          <w:sz w:val="20"/>
          <w:szCs w:val="20"/>
        </w:rPr>
        <w:t xml:space="preserve">2 </w:t>
      </w:r>
      <w:r w:rsidRPr="00624D02">
        <w:rPr>
          <w:rFonts w:cstheme="minorHAnsi"/>
          <w:sz w:val="20"/>
          <w:szCs w:val="20"/>
        </w:rPr>
        <w:t xml:space="preserve">alert letters will be issued and an intervention strategy implemented if academic progress begins to decline, escalating to the </w:t>
      </w:r>
      <w:r w:rsidR="00BF78FE" w:rsidRPr="00624D02">
        <w:rPr>
          <w:rFonts w:cstheme="minorHAnsi"/>
          <w:sz w:val="20"/>
          <w:szCs w:val="20"/>
        </w:rPr>
        <w:t>School</w:t>
      </w:r>
      <w:r w:rsidRPr="00624D02">
        <w:rPr>
          <w:rFonts w:cstheme="minorHAnsi"/>
          <w:sz w:val="20"/>
          <w:szCs w:val="20"/>
        </w:rPr>
        <w:t xml:space="preserve"> issuing a notice of intention to report where an international student is failing or not deemed competent in 50% of their units of study within </w:t>
      </w:r>
      <w:r w:rsidR="00224949" w:rsidRPr="00624D02">
        <w:rPr>
          <w:rFonts w:cstheme="minorHAnsi"/>
          <w:sz w:val="20"/>
          <w:szCs w:val="20"/>
        </w:rPr>
        <w:t>a</w:t>
      </w:r>
      <w:r w:rsidRPr="00624D02">
        <w:rPr>
          <w:rFonts w:cstheme="minorHAnsi"/>
          <w:sz w:val="20"/>
          <w:szCs w:val="20"/>
        </w:rPr>
        <w:t xml:space="preserve"> </w:t>
      </w:r>
      <w:r w:rsidR="00BF78FE" w:rsidRPr="00624D02">
        <w:rPr>
          <w:rFonts w:cstheme="minorHAnsi"/>
          <w:sz w:val="20"/>
          <w:szCs w:val="20"/>
        </w:rPr>
        <w:t>study period</w:t>
      </w:r>
      <w:r w:rsidRPr="00624D02">
        <w:rPr>
          <w:rFonts w:cstheme="minorHAnsi"/>
          <w:sz w:val="20"/>
          <w:szCs w:val="20"/>
        </w:rPr>
        <w:t xml:space="preserve">. </w:t>
      </w:r>
    </w:p>
    <w:p w14:paraId="7A7A1B45" w14:textId="21C7F3CA" w:rsidR="00B83F69" w:rsidRDefault="00B83F69" w:rsidP="00750032">
      <w:pPr>
        <w:tabs>
          <w:tab w:val="left" w:pos="6501"/>
        </w:tabs>
        <w:jc w:val="both"/>
        <w:rPr>
          <w:rFonts w:cstheme="minorHAnsi"/>
          <w:sz w:val="20"/>
          <w:szCs w:val="20"/>
        </w:rPr>
      </w:pPr>
      <w:r w:rsidRPr="00624D02">
        <w:rPr>
          <w:rFonts w:cstheme="minorHAnsi"/>
          <w:sz w:val="20"/>
          <w:szCs w:val="20"/>
        </w:rPr>
        <w:t xml:space="preserve">International students who do not achieve satisfactory academic progression in two consecutive </w:t>
      </w:r>
      <w:r w:rsidR="00BF78FE" w:rsidRPr="00624D02">
        <w:rPr>
          <w:rFonts w:cstheme="minorHAnsi"/>
          <w:sz w:val="20"/>
          <w:szCs w:val="20"/>
        </w:rPr>
        <w:t>study periods</w:t>
      </w:r>
      <w:r w:rsidRPr="00624D02">
        <w:rPr>
          <w:rFonts w:cstheme="minorHAnsi"/>
          <w:sz w:val="20"/>
          <w:szCs w:val="20"/>
        </w:rPr>
        <w:t xml:space="preserve"> will be advised of </w:t>
      </w:r>
      <w:r w:rsidR="00ED7E04" w:rsidRPr="00624D02">
        <w:rPr>
          <w:rFonts w:cstheme="minorHAnsi"/>
          <w:sz w:val="20"/>
          <w:szCs w:val="20"/>
        </w:rPr>
        <w:t>F</w:t>
      </w:r>
      <w:r w:rsidR="009B31FC">
        <w:rPr>
          <w:rFonts w:cstheme="minorHAnsi"/>
          <w:sz w:val="20"/>
          <w:szCs w:val="20"/>
        </w:rPr>
        <w:t>OX</w:t>
      </w:r>
      <w:r w:rsidRPr="00624D02">
        <w:rPr>
          <w:rFonts w:cstheme="minorHAnsi"/>
          <w:sz w:val="20"/>
          <w:szCs w:val="20"/>
        </w:rPr>
        <w:t>’s intention to report the breach via PRISMS, which may result in the cancellation of their student visa</w:t>
      </w:r>
      <w:r w:rsidR="005C1F82">
        <w:rPr>
          <w:rFonts w:cstheme="minorHAnsi"/>
          <w:sz w:val="20"/>
          <w:szCs w:val="20"/>
        </w:rPr>
        <w:t>.</w:t>
      </w:r>
    </w:p>
    <w:p w14:paraId="07F7F2DA" w14:textId="6E8048A4" w:rsidR="00F23BB5" w:rsidRDefault="00780488" w:rsidP="00750032">
      <w:pPr>
        <w:tabs>
          <w:tab w:val="left" w:pos="6501"/>
        </w:tabs>
        <w:jc w:val="both"/>
        <w:rPr>
          <w:rFonts w:cstheme="minorHAnsi"/>
          <w:sz w:val="20"/>
          <w:szCs w:val="20"/>
        </w:rPr>
      </w:pPr>
      <w:r w:rsidRPr="00780488">
        <w:rPr>
          <w:rFonts w:cstheme="minorHAnsi"/>
          <w:sz w:val="20"/>
          <w:szCs w:val="20"/>
        </w:rPr>
        <w:t xml:space="preserve">International students should refer to the </w:t>
      </w:r>
      <w:r w:rsidRPr="00A46EBA">
        <w:rPr>
          <w:rFonts w:cstheme="minorHAnsi"/>
          <w:i/>
          <w:iCs/>
          <w:sz w:val="20"/>
          <w:szCs w:val="20"/>
        </w:rPr>
        <w:t xml:space="preserve">Course Completion within Expected Period </w:t>
      </w:r>
      <w:r w:rsidR="00C204A5" w:rsidRPr="00A46EBA">
        <w:rPr>
          <w:rFonts w:cstheme="minorHAnsi"/>
          <w:i/>
          <w:iCs/>
          <w:sz w:val="20"/>
          <w:szCs w:val="20"/>
        </w:rPr>
        <w:t>P</w:t>
      </w:r>
      <w:r w:rsidRPr="00A46EBA">
        <w:rPr>
          <w:rFonts w:cstheme="minorHAnsi"/>
          <w:i/>
          <w:iCs/>
          <w:sz w:val="20"/>
          <w:szCs w:val="20"/>
        </w:rPr>
        <w:t>olicy</w:t>
      </w:r>
      <w:r w:rsidRPr="00780488">
        <w:rPr>
          <w:rFonts w:cstheme="minorHAnsi"/>
          <w:sz w:val="20"/>
          <w:szCs w:val="20"/>
        </w:rPr>
        <w:t xml:space="preserve"> at </w:t>
      </w:r>
      <w:r>
        <w:rPr>
          <w:rFonts w:cstheme="minorHAnsi"/>
          <w:sz w:val="20"/>
          <w:szCs w:val="20"/>
        </w:rPr>
        <w:t xml:space="preserve"> </w:t>
      </w:r>
      <w:hyperlink r:id="rId8" w:history="1">
        <w:r w:rsidR="00CE27CE" w:rsidRPr="005B7AB5">
          <w:rPr>
            <w:rStyle w:val="Hyperlink"/>
            <w:rFonts w:cstheme="minorHAnsi"/>
            <w:sz w:val="20"/>
            <w:szCs w:val="20"/>
          </w:rPr>
          <w:t>www.fox.edu.au</w:t>
        </w:r>
      </w:hyperlink>
      <w:r>
        <w:rPr>
          <w:rFonts w:cstheme="minorHAnsi"/>
          <w:sz w:val="20"/>
          <w:szCs w:val="20"/>
        </w:rPr>
        <w:t xml:space="preserve"> </w:t>
      </w:r>
      <w:r w:rsidRPr="00780488">
        <w:rPr>
          <w:rFonts w:cstheme="minorHAnsi"/>
          <w:sz w:val="20"/>
          <w:szCs w:val="20"/>
        </w:rPr>
        <w:t xml:space="preserve"> for more information on the requirements of their visa to study at FOX .</w:t>
      </w:r>
    </w:p>
    <w:p w14:paraId="16BB5FD4" w14:textId="77777777" w:rsidR="00F23BB5" w:rsidRDefault="00F23BB5" w:rsidP="00750032">
      <w:pPr>
        <w:tabs>
          <w:tab w:val="left" w:pos="6501"/>
        </w:tabs>
        <w:jc w:val="both"/>
        <w:rPr>
          <w:rFonts w:cstheme="minorHAnsi"/>
          <w:sz w:val="20"/>
          <w:szCs w:val="20"/>
        </w:rPr>
      </w:pPr>
    </w:p>
    <w:p w14:paraId="241B59A7" w14:textId="77777777" w:rsidR="00F23BB5" w:rsidRDefault="00F23BB5" w:rsidP="00750032">
      <w:pPr>
        <w:tabs>
          <w:tab w:val="left" w:pos="6501"/>
        </w:tabs>
        <w:jc w:val="both"/>
        <w:rPr>
          <w:rFonts w:cstheme="minorHAnsi"/>
          <w:sz w:val="20"/>
          <w:szCs w:val="20"/>
        </w:rPr>
      </w:pPr>
    </w:p>
    <w:p w14:paraId="7D562A6C" w14:textId="77777777" w:rsidR="00F23BB5" w:rsidRPr="005C1F82" w:rsidRDefault="00F23BB5" w:rsidP="00750032">
      <w:pPr>
        <w:tabs>
          <w:tab w:val="left" w:pos="6501"/>
        </w:tabs>
        <w:jc w:val="both"/>
        <w:rPr>
          <w:rFonts w:cstheme="minorHAnsi"/>
          <w:sz w:val="20"/>
          <w:szCs w:val="20"/>
        </w:rPr>
      </w:pPr>
    </w:p>
    <w:tbl>
      <w:tblPr>
        <w:tblStyle w:val="TableGrid"/>
        <w:tblpPr w:leftFromText="180" w:rightFromText="180" w:vertAnchor="page" w:horzAnchor="margin" w:tblpY="11881"/>
        <w:tblW w:w="926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61"/>
      </w:tblGrid>
      <w:tr w:rsidR="006872DC" w14:paraId="715D2998" w14:textId="77777777" w:rsidTr="006872DC">
        <w:trPr>
          <w:trHeight w:val="1347"/>
        </w:trPr>
        <w:tc>
          <w:tcPr>
            <w:tcW w:w="9261" w:type="dxa"/>
          </w:tcPr>
          <w:p w14:paraId="04128998" w14:textId="77777777" w:rsidR="006872DC" w:rsidRPr="0072796C" w:rsidRDefault="006872DC" w:rsidP="006872DC">
            <w:pPr>
              <w:tabs>
                <w:tab w:val="left" w:pos="6501"/>
              </w:tabs>
              <w:spacing w:after="0"/>
              <w:jc w:val="both"/>
              <w:rPr>
                <w:rFonts w:cstheme="minorHAnsi"/>
                <w:color w:val="767171" w:themeColor="background2" w:themeShade="80"/>
                <w:sz w:val="18"/>
                <w:szCs w:val="18"/>
              </w:rPr>
            </w:pPr>
            <w:r w:rsidRPr="0072796C">
              <w:rPr>
                <w:rFonts w:cstheme="minorHAnsi"/>
                <w:color w:val="767171" w:themeColor="background2" w:themeShade="80"/>
                <w:sz w:val="18"/>
                <w:szCs w:val="18"/>
              </w:rPr>
              <w:t>This Policy should be read in conjunction with the following:</w:t>
            </w:r>
          </w:p>
          <w:p w14:paraId="56353880" w14:textId="77777777" w:rsidR="006872DC" w:rsidRPr="0072796C" w:rsidRDefault="006872DC" w:rsidP="006872DC">
            <w:pPr>
              <w:pStyle w:val="QCBullet"/>
              <w:framePr w:vSpace="0" w:wrap="auto" w:hAnchor="text" w:xAlign="left" w:yAlign="inline"/>
              <w:numPr>
                <w:ilvl w:val="0"/>
                <w:numId w:val="7"/>
              </w:numPr>
              <w:spacing w:after="0"/>
              <w:rPr>
                <w:rFonts w:asciiTheme="minorHAnsi" w:hAnsiTheme="minorHAnsi" w:cstheme="minorHAnsi"/>
                <w:color w:val="767171" w:themeColor="background2" w:themeShade="80"/>
                <w:szCs w:val="18"/>
              </w:rPr>
            </w:pPr>
            <w:r w:rsidRPr="0072796C">
              <w:rPr>
                <w:rFonts w:asciiTheme="minorHAnsi" w:hAnsiTheme="minorHAnsi" w:cstheme="minorHAnsi"/>
                <w:color w:val="767171" w:themeColor="background2" w:themeShade="80"/>
                <w:szCs w:val="18"/>
              </w:rPr>
              <w:t xml:space="preserve">National Code of Practice for Providers of Education and Training to Overseas Students 2018 (National Code 2018) – Standard 8 </w:t>
            </w:r>
          </w:p>
          <w:p w14:paraId="2C3E2C34" w14:textId="6D353859" w:rsidR="006872DC" w:rsidRPr="00230EB0" w:rsidRDefault="006872DC" w:rsidP="006872DC">
            <w:pPr>
              <w:pStyle w:val="QCBullet"/>
              <w:framePr w:vSpace="0" w:wrap="auto" w:hAnchor="text" w:xAlign="left" w:yAlign="inline"/>
              <w:numPr>
                <w:ilvl w:val="0"/>
                <w:numId w:val="7"/>
              </w:numPr>
              <w:spacing w:after="0"/>
              <w:rPr>
                <w:rFonts w:asciiTheme="minorHAnsi" w:hAnsiTheme="minorHAnsi" w:cstheme="minorHAnsi"/>
                <w:color w:val="F36657"/>
                <w:szCs w:val="18"/>
              </w:rPr>
            </w:pPr>
            <w:r>
              <w:rPr>
                <w:rFonts w:asciiTheme="minorHAnsi" w:hAnsiTheme="minorHAnsi" w:cstheme="minorHAnsi"/>
                <w:color w:val="767171" w:themeColor="background2" w:themeShade="80"/>
                <w:szCs w:val="18"/>
              </w:rPr>
              <w:t xml:space="preserve">Standards for RTOs 2015 – Standard 1 Clauses 1.1-1.16 </w:t>
            </w:r>
            <w:r>
              <w:rPr>
                <w:rFonts w:asciiTheme="minorHAnsi" w:hAnsiTheme="minorHAnsi" w:cstheme="minorHAnsi"/>
                <w:i/>
                <w:iCs/>
                <w:color w:val="767171" w:themeColor="background2" w:themeShade="80"/>
                <w:szCs w:val="18"/>
              </w:rPr>
              <w:t xml:space="preserve">(Training and Assessment), Standard 5 </w:t>
            </w:r>
            <w:r>
              <w:rPr>
                <w:rFonts w:asciiTheme="minorHAnsi" w:hAnsiTheme="minorHAnsi" w:cstheme="minorHAnsi"/>
                <w:color w:val="767171" w:themeColor="background2" w:themeShade="80"/>
                <w:szCs w:val="18"/>
              </w:rPr>
              <w:t xml:space="preserve">Clauses 5.1-5.4 </w:t>
            </w:r>
            <w:r>
              <w:rPr>
                <w:rFonts w:asciiTheme="minorHAnsi" w:hAnsiTheme="minorHAnsi" w:cstheme="minorHAnsi"/>
                <w:i/>
                <w:iCs/>
                <w:color w:val="767171" w:themeColor="background2" w:themeShade="80"/>
                <w:szCs w:val="18"/>
              </w:rPr>
              <w:t xml:space="preserve">(Informing and Protecting Learners), </w:t>
            </w:r>
            <w:r>
              <w:rPr>
                <w:rFonts w:asciiTheme="minorHAnsi" w:hAnsiTheme="minorHAnsi" w:cstheme="minorHAnsi"/>
                <w:color w:val="767171" w:themeColor="background2" w:themeShade="80"/>
                <w:szCs w:val="18"/>
              </w:rPr>
              <w:t xml:space="preserve">Standard 6 Clauses 6.1 – 6.5 </w:t>
            </w:r>
            <w:r>
              <w:rPr>
                <w:rFonts w:asciiTheme="minorHAnsi" w:hAnsiTheme="minorHAnsi" w:cstheme="minorHAnsi"/>
                <w:i/>
                <w:iCs/>
                <w:color w:val="767171" w:themeColor="background2" w:themeShade="80"/>
                <w:szCs w:val="18"/>
              </w:rPr>
              <w:t xml:space="preserve">(Complaints and Appeals), </w:t>
            </w:r>
            <w:r>
              <w:rPr>
                <w:rFonts w:asciiTheme="minorHAnsi" w:hAnsiTheme="minorHAnsi" w:cstheme="minorHAnsi"/>
                <w:color w:val="767171" w:themeColor="background2" w:themeShade="80"/>
                <w:szCs w:val="18"/>
              </w:rPr>
              <w:t xml:space="preserve">Standard 8 </w:t>
            </w:r>
            <w:r w:rsidRPr="008C67F0">
              <w:rPr>
                <w:rFonts w:asciiTheme="minorHAnsi" w:hAnsiTheme="minorHAnsi"/>
                <w:color w:val="auto"/>
                <w:sz w:val="22"/>
              </w:rPr>
              <w:t xml:space="preserve"> </w:t>
            </w:r>
            <w:r w:rsidRPr="008C67F0">
              <w:rPr>
                <w:rFonts w:asciiTheme="minorHAnsi" w:hAnsiTheme="minorHAnsi" w:cstheme="minorHAnsi"/>
                <w:color w:val="767171" w:themeColor="background2" w:themeShade="80"/>
                <w:szCs w:val="18"/>
              </w:rPr>
              <w:t>Clause 8.4</w:t>
            </w:r>
            <w:r>
              <w:rPr>
                <w:rFonts w:asciiTheme="minorHAnsi" w:hAnsiTheme="minorHAnsi" w:cstheme="minorHAnsi"/>
                <w:color w:val="767171" w:themeColor="background2" w:themeShade="80"/>
                <w:szCs w:val="18"/>
              </w:rPr>
              <w:t xml:space="preserve"> </w:t>
            </w:r>
            <w:r>
              <w:rPr>
                <w:rFonts w:asciiTheme="minorHAnsi" w:hAnsiTheme="minorHAnsi" w:cstheme="minorHAnsi"/>
                <w:i/>
                <w:iCs/>
                <w:color w:val="767171" w:themeColor="background2" w:themeShade="80"/>
                <w:szCs w:val="18"/>
              </w:rPr>
              <w:t>(</w:t>
            </w:r>
            <w:r>
              <w:rPr>
                <w:rFonts w:asciiTheme="minorHAnsi" w:hAnsiTheme="minorHAnsi" w:cstheme="minorHAnsi"/>
                <w:i/>
                <w:iCs/>
                <w:color w:val="767171" w:themeColor="background2" w:themeShade="80"/>
              </w:rPr>
              <w:t>G</w:t>
            </w:r>
            <w:r w:rsidRPr="008C67F0">
              <w:rPr>
                <w:rFonts w:asciiTheme="minorHAnsi" w:hAnsiTheme="minorHAnsi" w:cstheme="minorHAnsi"/>
                <w:i/>
                <w:iCs/>
                <w:color w:val="767171" w:themeColor="background2" w:themeShade="80"/>
                <w:szCs w:val="18"/>
              </w:rPr>
              <w:t xml:space="preserve">overnance and administration </w:t>
            </w:r>
            <w:r>
              <w:rPr>
                <w:rFonts w:asciiTheme="minorHAnsi" w:hAnsiTheme="minorHAnsi" w:cstheme="minorHAnsi"/>
                <w:i/>
                <w:iCs/>
                <w:color w:val="767171" w:themeColor="background2" w:themeShade="80"/>
                <w:szCs w:val="18"/>
              </w:rPr>
              <w:t xml:space="preserve">- </w:t>
            </w:r>
            <w:r w:rsidRPr="008C67F0">
              <w:rPr>
                <w:rFonts w:asciiTheme="minorHAnsi" w:hAnsiTheme="minorHAnsi" w:cstheme="minorHAnsi"/>
                <w:i/>
                <w:iCs/>
                <w:color w:val="767171" w:themeColor="background2" w:themeShade="80"/>
                <w:szCs w:val="18"/>
              </w:rPr>
              <w:t>including records management)</w:t>
            </w:r>
            <w:r>
              <w:rPr>
                <w:rFonts w:asciiTheme="minorHAnsi" w:hAnsiTheme="minorHAnsi" w:cstheme="minorHAnsi"/>
                <w:i/>
                <w:iCs/>
                <w:color w:val="767171" w:themeColor="background2" w:themeShade="80"/>
                <w:szCs w:val="18"/>
              </w:rPr>
              <w:t xml:space="preserve">, </w:t>
            </w:r>
            <w:r w:rsidRPr="00230EB0">
              <w:rPr>
                <w:rFonts w:asciiTheme="minorHAnsi" w:hAnsiTheme="minorHAnsi" w:cstheme="minorHAnsi"/>
                <w:i/>
                <w:iCs/>
                <w:color w:val="F36657"/>
                <w:szCs w:val="18"/>
              </w:rPr>
              <w:t>in transition to new Standards</w:t>
            </w:r>
            <w:r w:rsidR="0053628C" w:rsidRPr="00230EB0">
              <w:rPr>
                <w:rFonts w:asciiTheme="minorHAnsi" w:hAnsiTheme="minorHAnsi" w:cstheme="minorHAnsi"/>
                <w:i/>
                <w:iCs/>
                <w:color w:val="F36657"/>
                <w:szCs w:val="18"/>
              </w:rPr>
              <w:t>:</w:t>
            </w:r>
          </w:p>
          <w:p w14:paraId="2CEDF713" w14:textId="7CD0517D" w:rsidR="0053628C" w:rsidRPr="006872DC" w:rsidRDefault="0053628C" w:rsidP="0053628C">
            <w:pPr>
              <w:pStyle w:val="QCBullet"/>
              <w:framePr w:vSpace="0" w:wrap="auto" w:hAnchor="text" w:xAlign="left" w:yAlign="inline"/>
              <w:numPr>
                <w:ilvl w:val="0"/>
                <w:numId w:val="0"/>
              </w:numPr>
              <w:spacing w:after="0"/>
              <w:ind w:left="720"/>
              <w:rPr>
                <w:rFonts w:asciiTheme="minorHAnsi" w:hAnsiTheme="minorHAnsi" w:cstheme="minorHAnsi"/>
                <w:color w:val="767171" w:themeColor="background2" w:themeShade="80"/>
                <w:szCs w:val="18"/>
              </w:rPr>
            </w:pPr>
            <w:r w:rsidRPr="0053628C">
              <w:rPr>
                <w:rFonts w:asciiTheme="minorHAnsi" w:hAnsiTheme="minorHAnsi" w:cstheme="minorHAnsi"/>
                <w:color w:val="767171" w:themeColor="background2" w:themeShade="80"/>
                <w:szCs w:val="18"/>
              </w:rPr>
              <w:t>National Vocational Education and Training Regulator (Compliance Standards for NVR Registered Training Organisations and Fit and Proper Person Requirements) Instrument 2025</w:t>
            </w:r>
            <w:r>
              <w:rPr>
                <w:rFonts w:asciiTheme="minorHAnsi" w:hAnsiTheme="minorHAnsi" w:cstheme="minorHAnsi"/>
                <w:color w:val="767171" w:themeColor="background2" w:themeShade="80"/>
                <w:szCs w:val="18"/>
              </w:rPr>
              <w:t>, Division 2</w:t>
            </w:r>
            <w:r w:rsidR="00696468">
              <w:rPr>
                <w:rFonts w:asciiTheme="minorHAnsi" w:hAnsiTheme="minorHAnsi" w:cstheme="minorHAnsi"/>
                <w:color w:val="767171" w:themeColor="background2" w:themeShade="80"/>
                <w:szCs w:val="18"/>
              </w:rPr>
              <w:t>, section 9</w:t>
            </w:r>
            <w:r w:rsidR="00230EB0">
              <w:rPr>
                <w:rFonts w:asciiTheme="minorHAnsi" w:hAnsiTheme="minorHAnsi" w:cstheme="minorHAnsi"/>
                <w:color w:val="767171" w:themeColor="background2" w:themeShade="80"/>
                <w:szCs w:val="18"/>
              </w:rPr>
              <w:t>.1</w:t>
            </w:r>
          </w:p>
          <w:p w14:paraId="7B104420" w14:textId="77777777" w:rsidR="006872DC" w:rsidRDefault="006872DC" w:rsidP="006872DC">
            <w:pPr>
              <w:pStyle w:val="QCBullet"/>
              <w:framePr w:vSpace="0" w:wrap="auto" w:hAnchor="text" w:xAlign="left" w:yAlign="inline"/>
              <w:numPr>
                <w:ilvl w:val="0"/>
                <w:numId w:val="7"/>
              </w:numPr>
              <w:spacing w:after="0"/>
              <w:rPr>
                <w:rFonts w:asciiTheme="minorHAnsi" w:hAnsiTheme="minorHAnsi" w:cstheme="minorHAnsi"/>
                <w:color w:val="767171" w:themeColor="background2" w:themeShade="80"/>
                <w:szCs w:val="18"/>
              </w:rPr>
            </w:pPr>
            <w:r w:rsidRPr="00740CD8">
              <w:rPr>
                <w:rFonts w:asciiTheme="minorHAnsi" w:hAnsiTheme="minorHAnsi" w:cstheme="minorHAnsi"/>
                <w:color w:val="767171" w:themeColor="background2" w:themeShade="80"/>
                <w:szCs w:val="18"/>
              </w:rPr>
              <w:t xml:space="preserve">Course Completion within Expected Period policy </w:t>
            </w:r>
          </w:p>
          <w:p w14:paraId="3A12769D" w14:textId="77777777" w:rsidR="006872DC" w:rsidRPr="008C67F0" w:rsidRDefault="006872DC" w:rsidP="006872DC">
            <w:pPr>
              <w:pStyle w:val="QCBullet"/>
              <w:framePr w:vSpace="0" w:wrap="auto" w:hAnchor="text" w:xAlign="left" w:yAlign="inline"/>
              <w:numPr>
                <w:ilvl w:val="0"/>
                <w:numId w:val="7"/>
              </w:numPr>
              <w:spacing w:after="0"/>
              <w:rPr>
                <w:rFonts w:asciiTheme="minorHAnsi" w:hAnsiTheme="minorHAnsi" w:cstheme="minorHAnsi"/>
                <w:color w:val="767171" w:themeColor="background2" w:themeShade="80"/>
                <w:szCs w:val="18"/>
              </w:rPr>
            </w:pPr>
            <w:r w:rsidRPr="0072796C">
              <w:rPr>
                <w:rFonts w:asciiTheme="minorHAnsi" w:hAnsiTheme="minorHAnsi" w:cstheme="minorHAnsi"/>
                <w:color w:val="767171" w:themeColor="background2" w:themeShade="80"/>
                <w:szCs w:val="18"/>
              </w:rPr>
              <w:t>Complaints and Appeals Policy</w:t>
            </w:r>
          </w:p>
        </w:tc>
      </w:tr>
      <w:tr w:rsidR="006872DC" w14:paraId="7FDEAA8E" w14:textId="77777777" w:rsidTr="006872DC">
        <w:trPr>
          <w:trHeight w:val="508"/>
        </w:trPr>
        <w:tc>
          <w:tcPr>
            <w:tcW w:w="9261" w:type="dxa"/>
          </w:tcPr>
          <w:p w14:paraId="1E118DC7" w14:textId="77777777" w:rsidR="006872DC" w:rsidRPr="0072796C" w:rsidRDefault="006872DC" w:rsidP="006872DC">
            <w:pPr>
              <w:tabs>
                <w:tab w:val="left" w:pos="6501"/>
              </w:tabs>
              <w:spacing w:after="0"/>
              <w:jc w:val="both"/>
              <w:rPr>
                <w:rFonts w:cstheme="minorHAnsi"/>
                <w:color w:val="767171" w:themeColor="background2" w:themeShade="80"/>
                <w:sz w:val="18"/>
                <w:szCs w:val="18"/>
              </w:rPr>
            </w:pPr>
            <w:r w:rsidRPr="0072796C">
              <w:rPr>
                <w:rFonts w:cstheme="minorHAnsi"/>
                <w:color w:val="767171" w:themeColor="background2" w:themeShade="80"/>
                <w:sz w:val="18"/>
                <w:szCs w:val="18"/>
              </w:rPr>
              <w:t>This Policy is directly supported by the following Procedure(s):</w:t>
            </w:r>
          </w:p>
          <w:p w14:paraId="2278D1F4" w14:textId="77777777" w:rsidR="006872DC" w:rsidRDefault="006872DC" w:rsidP="006872DC">
            <w:pPr>
              <w:pStyle w:val="QCBullet"/>
              <w:framePr w:vSpace="0" w:wrap="auto" w:hAnchor="text" w:xAlign="left" w:yAlign="inline"/>
              <w:numPr>
                <w:ilvl w:val="0"/>
                <w:numId w:val="7"/>
              </w:numPr>
              <w:spacing w:after="0"/>
              <w:rPr>
                <w:rFonts w:asciiTheme="minorHAnsi" w:hAnsiTheme="minorHAnsi" w:cstheme="minorHAnsi"/>
                <w:color w:val="767171" w:themeColor="background2" w:themeShade="80"/>
                <w:szCs w:val="18"/>
              </w:rPr>
            </w:pPr>
            <w:r w:rsidRPr="0072796C">
              <w:rPr>
                <w:rFonts w:asciiTheme="minorHAnsi" w:hAnsiTheme="minorHAnsi" w:cstheme="minorHAnsi"/>
                <w:color w:val="767171" w:themeColor="background2" w:themeShade="80"/>
                <w:szCs w:val="18"/>
              </w:rPr>
              <w:t>Intervention Strategy Procedure</w:t>
            </w:r>
          </w:p>
          <w:p w14:paraId="13B8FA0C" w14:textId="77777777" w:rsidR="006872DC" w:rsidRDefault="006872DC" w:rsidP="006872DC">
            <w:pPr>
              <w:pStyle w:val="QCBullet"/>
              <w:framePr w:vSpace="0" w:wrap="auto" w:hAnchor="text" w:xAlign="left" w:yAlign="inline"/>
              <w:numPr>
                <w:ilvl w:val="0"/>
                <w:numId w:val="7"/>
              </w:numPr>
              <w:spacing w:after="0"/>
              <w:rPr>
                <w:rFonts w:asciiTheme="minorHAnsi" w:hAnsiTheme="minorHAnsi" w:cstheme="minorHAnsi"/>
                <w:color w:val="767171" w:themeColor="background2" w:themeShade="80"/>
                <w:szCs w:val="18"/>
              </w:rPr>
            </w:pPr>
            <w:r w:rsidRPr="00740CD8">
              <w:rPr>
                <w:rFonts w:asciiTheme="minorHAnsi" w:hAnsiTheme="minorHAnsi" w:cstheme="minorHAnsi"/>
                <w:color w:val="767171" w:themeColor="background2" w:themeShade="80"/>
                <w:szCs w:val="18"/>
              </w:rPr>
              <w:t>Application for Special Consideration Form</w:t>
            </w:r>
          </w:p>
          <w:p w14:paraId="101B3C22" w14:textId="77777777" w:rsidR="006872DC" w:rsidRPr="0072796C" w:rsidRDefault="006872DC" w:rsidP="006872DC">
            <w:pPr>
              <w:pStyle w:val="QCBullet"/>
              <w:framePr w:vSpace="0" w:wrap="auto" w:hAnchor="text" w:xAlign="left" w:yAlign="inline"/>
              <w:numPr>
                <w:ilvl w:val="0"/>
                <w:numId w:val="0"/>
              </w:numPr>
              <w:spacing w:after="0"/>
              <w:rPr>
                <w:rFonts w:asciiTheme="minorHAnsi" w:hAnsiTheme="minorHAnsi" w:cstheme="minorHAnsi"/>
                <w:color w:val="767171" w:themeColor="background2" w:themeShade="80"/>
                <w:szCs w:val="18"/>
              </w:rPr>
            </w:pPr>
          </w:p>
        </w:tc>
      </w:tr>
    </w:tbl>
    <w:p w14:paraId="4D04850A" w14:textId="39FEB72C" w:rsidR="00B83F69" w:rsidRPr="00624D02" w:rsidRDefault="00B83F69" w:rsidP="002E301E">
      <w:pPr>
        <w:rPr>
          <w:rFonts w:cstheme="minorHAnsi"/>
          <w:sz w:val="20"/>
          <w:szCs w:val="20"/>
        </w:rPr>
      </w:pPr>
    </w:p>
    <w:sectPr w:rsidR="00B83F69" w:rsidRPr="00624D02" w:rsidSect="000B334C">
      <w:headerReference w:type="default" r:id="rId9"/>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86D30" w14:textId="77777777" w:rsidR="009B3A65" w:rsidRDefault="009B3A65" w:rsidP="00436377">
      <w:r>
        <w:separator/>
      </w:r>
    </w:p>
  </w:endnote>
  <w:endnote w:type="continuationSeparator" w:id="0">
    <w:p w14:paraId="5775E209" w14:textId="77777777" w:rsidR="009B3A65" w:rsidRDefault="009B3A65" w:rsidP="0043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altName w:val="Corbe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D831" w14:textId="3CEE22A6" w:rsidR="000B334C" w:rsidRDefault="000B334C" w:rsidP="000B334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Document Name: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cmsDocName    </w:instrText>
    </w:r>
    <w:r>
      <w:rPr>
        <w:rFonts w:eastAsia="Calibri" w:cs="Times New Roman"/>
        <w:sz w:val="16"/>
        <w:szCs w:val="16"/>
      </w:rPr>
      <w:fldChar w:fldCharType="separate"/>
    </w:r>
    <w:r w:rsidR="002E301E">
      <w:rPr>
        <w:rFonts w:eastAsia="Calibri" w:cs="Times New Roman"/>
        <w:sz w:val="16"/>
        <w:szCs w:val="16"/>
      </w:rPr>
      <w:t>Course Progress and Monitoring Attendance</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Created By:</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cmsDocCreatedBy    </w:instrText>
    </w:r>
    <w:r>
      <w:rPr>
        <w:rFonts w:eastAsia="Calibri" w:cs="Times New Roman"/>
        <w:sz w:val="16"/>
        <w:szCs w:val="16"/>
      </w:rPr>
      <w:fldChar w:fldCharType="separate"/>
    </w:r>
    <w:r w:rsidR="002E301E">
      <w:rPr>
        <w:rFonts w:eastAsia="Calibri" w:cs="Times New Roman"/>
        <w:sz w:val="16"/>
        <w:szCs w:val="16"/>
      </w:rPr>
      <w:t>Administrator</w:t>
    </w:r>
    <w:r>
      <w:rPr>
        <w:rFonts w:eastAsia="Calibri" w:cs="Times New Roman"/>
        <w:sz w:val="16"/>
        <w:szCs w:val="16"/>
      </w:rPr>
      <w:fldChar w:fldCharType="end"/>
    </w:r>
  </w:p>
  <w:p w14:paraId="1267A346" w14:textId="141F9082" w:rsidR="000B334C" w:rsidRDefault="000B334C" w:rsidP="000B334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Revision: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cmsRevision    </w:instrText>
    </w:r>
    <w:r>
      <w:rPr>
        <w:rFonts w:eastAsia="Calibri" w:cs="Times New Roman"/>
        <w:sz w:val="16"/>
        <w:szCs w:val="16"/>
      </w:rPr>
      <w:fldChar w:fldCharType="separate"/>
    </w:r>
    <w:r w:rsidR="002E301E">
      <w:rPr>
        <w:rFonts w:eastAsia="Calibri" w:cs="Times New Roman"/>
        <w:sz w:val="16"/>
        <w:szCs w:val="16"/>
      </w:rPr>
      <w:t>1.5</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Approved By:</w:t>
    </w:r>
    <w:r>
      <w:rPr>
        <w:rFonts w:eastAsia="Calibri" w:cs="Times New Roman"/>
        <w:sz w:val="16"/>
        <w:szCs w:val="16"/>
      </w:rPr>
      <w:tab/>
    </w:r>
    <w:r w:rsidR="002E301E">
      <w:rPr>
        <w:rFonts w:eastAsia="Calibri" w:cs="Times New Roman"/>
        <w:sz w:val="16"/>
        <w:szCs w:val="16"/>
      </w:rPr>
      <w:t>Director</w:t>
    </w:r>
  </w:p>
  <w:p w14:paraId="2CEF753F" w14:textId="45744032" w:rsidR="000B334C" w:rsidRDefault="000B334C" w:rsidP="000B334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Revision Date:</w:t>
    </w:r>
    <w:r>
      <w:rPr>
        <w:rFonts w:eastAsia="Calibri" w:cs="Times New Roman"/>
        <w:sz w:val="16"/>
        <w:szCs w:val="16"/>
      </w:rPr>
      <w:tab/>
    </w:r>
    <w:r w:rsidR="00F2238F">
      <w:rPr>
        <w:rFonts w:eastAsia="Calibri" w:cs="Times New Roman"/>
        <w:sz w:val="16"/>
        <w:szCs w:val="16"/>
      </w:rPr>
      <w:t>07-05-2025</w:t>
    </w:r>
    <w:r>
      <w:rPr>
        <w:rFonts w:eastAsia="Calibri" w:cs="Times New Roman"/>
        <w:sz w:val="16"/>
        <w:szCs w:val="16"/>
      </w:rPr>
      <w:tab/>
    </w:r>
    <w:r>
      <w:rPr>
        <w:rFonts w:eastAsia="Calibri" w:cs="Times New Roman"/>
        <w:b/>
        <w:sz w:val="16"/>
        <w:szCs w:val="16"/>
      </w:rPr>
      <w:t>Document Location: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cmsDocLocation    </w:instrText>
    </w:r>
    <w:r>
      <w:rPr>
        <w:rFonts w:eastAsia="Calibri" w:cs="Times New Roman"/>
        <w:sz w:val="16"/>
        <w:szCs w:val="16"/>
      </w:rPr>
      <w:fldChar w:fldCharType="separate"/>
    </w:r>
    <w:r w:rsidR="002E301E">
      <w:rPr>
        <w:rFonts w:eastAsia="Calibri" w:cs="Times New Roman"/>
        <w:sz w:val="16"/>
        <w:szCs w:val="16"/>
      </w:rPr>
      <w:t>NovaCore CMS\CRICOS 2018\Policy\</w:t>
    </w:r>
    <w:r>
      <w:rPr>
        <w:rFonts w:eastAsia="Calibri" w:cs="Times New Roman"/>
        <w:sz w:val="16"/>
        <w:szCs w:val="16"/>
      </w:rPr>
      <w:fldChar w:fldCharType="end"/>
    </w:r>
  </w:p>
  <w:p w14:paraId="7971A9EE" w14:textId="0F7AAD65" w:rsidR="000B334C" w:rsidRDefault="000B334C" w:rsidP="000B334C">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Review Date: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cmsNextReviewDate    </w:instrText>
    </w:r>
    <w:r>
      <w:rPr>
        <w:rFonts w:eastAsia="Calibri" w:cs="Times New Roman"/>
        <w:sz w:val="16"/>
        <w:szCs w:val="16"/>
      </w:rPr>
      <w:fldChar w:fldCharType="separate"/>
    </w:r>
    <w:r w:rsidR="002E301E">
      <w:rPr>
        <w:rFonts w:eastAsia="Calibri" w:cs="Times New Roman"/>
        <w:sz w:val="16"/>
        <w:szCs w:val="16"/>
      </w:rPr>
      <w:t>10-05-2026</w:t>
    </w:r>
    <w:r>
      <w:rPr>
        <w:rFonts w:eastAsia="Calibri" w:cs="Times New Roman"/>
        <w:sz w:val="16"/>
        <w:szCs w:val="16"/>
      </w:rPr>
      <w:fldChar w:fldCharType="end"/>
    </w:r>
  </w:p>
  <w:p w14:paraId="18910A92" w14:textId="77777777" w:rsidR="000B334C" w:rsidRDefault="000B334C" w:rsidP="000B33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C6B4D" w14:textId="77777777" w:rsidR="009B3A65" w:rsidRDefault="009B3A65" w:rsidP="00436377">
      <w:r>
        <w:separator/>
      </w:r>
    </w:p>
  </w:footnote>
  <w:footnote w:type="continuationSeparator" w:id="0">
    <w:p w14:paraId="1C526EA6" w14:textId="77777777" w:rsidR="009B3A65" w:rsidRDefault="009B3A65" w:rsidP="00436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B348" w14:textId="20FB71E7" w:rsidR="000B334C" w:rsidRDefault="000B334C" w:rsidP="000B334C">
    <w:pPr>
      <w:pStyle w:val="Header"/>
      <w:jc w:val="center"/>
    </w:pPr>
    <w:r w:rsidRPr="007E0D0E">
      <w:rPr>
        <w:noProof/>
        <w:lang w:eastAsia="en-AU"/>
      </w:rPr>
      <w:drawing>
        <wp:inline distT="0" distB="0" distL="0" distR="0" wp14:anchorId="5AE2CD50" wp14:editId="694D7CAA">
          <wp:extent cx="732155" cy="386981"/>
          <wp:effectExtent l="0" t="0" r="0" b="0"/>
          <wp:docPr id="6" name="Picture 6"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79"/>
    <w:multiLevelType w:val="hybridMultilevel"/>
    <w:tmpl w:val="DAF48412"/>
    <w:lvl w:ilvl="0" w:tplc="6214ED3A">
      <w:start w:val="1"/>
      <w:numFmt w:val="decimal"/>
      <w:lvlText w:val="%1."/>
      <w:lvlJc w:val="left"/>
      <w:pPr>
        <w:ind w:left="551" w:hanging="359"/>
      </w:pPr>
      <w:rPr>
        <w:rFonts w:ascii="Arial" w:eastAsia="Arial" w:hAnsi="Arial" w:hint="default"/>
        <w:sz w:val="20"/>
        <w:szCs w:val="20"/>
      </w:rPr>
    </w:lvl>
    <w:lvl w:ilvl="1" w:tplc="34090001">
      <w:start w:val="1"/>
      <w:numFmt w:val="bullet"/>
      <w:lvlText w:val=""/>
      <w:lvlJc w:val="left"/>
      <w:pPr>
        <w:ind w:left="912" w:hanging="360"/>
      </w:pPr>
      <w:rPr>
        <w:rFonts w:ascii="Symbol" w:hAnsi="Symbol" w:hint="default"/>
      </w:rPr>
    </w:lvl>
    <w:lvl w:ilvl="2" w:tplc="60B2ED68">
      <w:start w:val="1"/>
      <w:numFmt w:val="bullet"/>
      <w:lvlText w:val="•"/>
      <w:lvlJc w:val="left"/>
      <w:pPr>
        <w:ind w:left="2010" w:hanging="361"/>
      </w:pPr>
      <w:rPr>
        <w:rFonts w:hint="default"/>
      </w:rPr>
    </w:lvl>
    <w:lvl w:ilvl="3" w:tplc="327C4C32">
      <w:start w:val="1"/>
      <w:numFmt w:val="bullet"/>
      <w:lvlText w:val="•"/>
      <w:lvlJc w:val="left"/>
      <w:pPr>
        <w:ind w:left="3107" w:hanging="361"/>
      </w:pPr>
      <w:rPr>
        <w:rFonts w:hint="default"/>
      </w:rPr>
    </w:lvl>
    <w:lvl w:ilvl="4" w:tplc="875C4A7A">
      <w:start w:val="1"/>
      <w:numFmt w:val="bullet"/>
      <w:lvlText w:val="•"/>
      <w:lvlJc w:val="left"/>
      <w:pPr>
        <w:ind w:left="4204" w:hanging="361"/>
      </w:pPr>
      <w:rPr>
        <w:rFonts w:hint="default"/>
      </w:rPr>
    </w:lvl>
    <w:lvl w:ilvl="5" w:tplc="8CEEFED6">
      <w:start w:val="1"/>
      <w:numFmt w:val="bullet"/>
      <w:lvlText w:val="•"/>
      <w:lvlJc w:val="left"/>
      <w:pPr>
        <w:ind w:left="5300" w:hanging="361"/>
      </w:pPr>
      <w:rPr>
        <w:rFonts w:hint="default"/>
      </w:rPr>
    </w:lvl>
    <w:lvl w:ilvl="6" w:tplc="DAAEDC70">
      <w:start w:val="1"/>
      <w:numFmt w:val="bullet"/>
      <w:lvlText w:val="•"/>
      <w:lvlJc w:val="left"/>
      <w:pPr>
        <w:ind w:left="6397" w:hanging="361"/>
      </w:pPr>
      <w:rPr>
        <w:rFonts w:hint="default"/>
      </w:rPr>
    </w:lvl>
    <w:lvl w:ilvl="7" w:tplc="2F08C90A">
      <w:start w:val="1"/>
      <w:numFmt w:val="bullet"/>
      <w:lvlText w:val="•"/>
      <w:lvlJc w:val="left"/>
      <w:pPr>
        <w:ind w:left="7494" w:hanging="361"/>
      </w:pPr>
      <w:rPr>
        <w:rFonts w:hint="default"/>
      </w:rPr>
    </w:lvl>
    <w:lvl w:ilvl="8" w:tplc="1F52EC06">
      <w:start w:val="1"/>
      <w:numFmt w:val="bullet"/>
      <w:lvlText w:val="•"/>
      <w:lvlJc w:val="left"/>
      <w:pPr>
        <w:ind w:left="8590" w:hanging="361"/>
      </w:pPr>
      <w:rPr>
        <w:rFonts w:hint="default"/>
      </w:rPr>
    </w:lvl>
  </w:abstractNum>
  <w:abstractNum w:abstractNumId="1" w15:restartNumberingAfterBreak="0">
    <w:nsid w:val="07B9720B"/>
    <w:multiLevelType w:val="hybridMultilevel"/>
    <w:tmpl w:val="B9B8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AD00A2"/>
    <w:multiLevelType w:val="multilevel"/>
    <w:tmpl w:val="0E2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92CA1"/>
    <w:multiLevelType w:val="hybridMultilevel"/>
    <w:tmpl w:val="CBDC538E"/>
    <w:lvl w:ilvl="0" w:tplc="3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4594DB7"/>
    <w:multiLevelType w:val="hybridMultilevel"/>
    <w:tmpl w:val="38603A30"/>
    <w:lvl w:ilvl="0" w:tplc="34090001">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C74989"/>
    <w:multiLevelType w:val="multilevel"/>
    <w:tmpl w:val="8586C6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FF13FDE"/>
    <w:multiLevelType w:val="hybridMultilevel"/>
    <w:tmpl w:val="E6B2CF40"/>
    <w:lvl w:ilvl="0" w:tplc="CC8A6338">
      <w:start w:val="1"/>
      <w:numFmt w:val="bullet"/>
      <w:pStyle w:val="QCBullet"/>
      <w:lvlText w:val=""/>
      <w:lvlJc w:val="left"/>
      <w:pPr>
        <w:ind w:left="720" w:hanging="360"/>
      </w:pPr>
      <w:rPr>
        <w:rFonts w:ascii="Wingdings" w:hAnsi="Wingdings" w:hint="default"/>
        <w:color w:val="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visionView w:markup="0"/>
  <w:documentProtection w:edit="forms" w:enforcement="1" w:cryptProviderType="rsaAES" w:cryptAlgorithmClass="hash" w:cryptAlgorithmType="typeAny" w:cryptAlgorithmSid="14" w:cryptSpinCount="100000" w:hash="o2Cth8mFmavj/kuebIE/8OJwZEcO2GcPJiCDPo6wfZrVegTN3DV8HlpJbGUAVPny39p51nLnk7FxP9TGmIj16A==" w:salt="GskvLtAM2pFTrPwsCWfR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69"/>
    <w:rsid w:val="0003230E"/>
    <w:rsid w:val="00034263"/>
    <w:rsid w:val="00066119"/>
    <w:rsid w:val="0007525D"/>
    <w:rsid w:val="000B334C"/>
    <w:rsid w:val="000D57FD"/>
    <w:rsid w:val="000F39A5"/>
    <w:rsid w:val="000F4DE1"/>
    <w:rsid w:val="001205D5"/>
    <w:rsid w:val="0012418C"/>
    <w:rsid w:val="00147244"/>
    <w:rsid w:val="0017701D"/>
    <w:rsid w:val="001951F5"/>
    <w:rsid w:val="002030C5"/>
    <w:rsid w:val="002058D8"/>
    <w:rsid w:val="00224949"/>
    <w:rsid w:val="00224B0D"/>
    <w:rsid w:val="00230EB0"/>
    <w:rsid w:val="002477CF"/>
    <w:rsid w:val="00265EE7"/>
    <w:rsid w:val="002A4FB7"/>
    <w:rsid w:val="002C02F5"/>
    <w:rsid w:val="002E301E"/>
    <w:rsid w:val="00316A0D"/>
    <w:rsid w:val="00377E40"/>
    <w:rsid w:val="003E5B94"/>
    <w:rsid w:val="004070FB"/>
    <w:rsid w:val="004147FF"/>
    <w:rsid w:val="0042734C"/>
    <w:rsid w:val="00436377"/>
    <w:rsid w:val="00495A0D"/>
    <w:rsid w:val="004A64F6"/>
    <w:rsid w:val="004B6FF6"/>
    <w:rsid w:val="004B7764"/>
    <w:rsid w:val="004E714F"/>
    <w:rsid w:val="004F2D91"/>
    <w:rsid w:val="0053628C"/>
    <w:rsid w:val="00537271"/>
    <w:rsid w:val="00555EC2"/>
    <w:rsid w:val="00580809"/>
    <w:rsid w:val="005C1F82"/>
    <w:rsid w:val="005C4BD2"/>
    <w:rsid w:val="005F71A6"/>
    <w:rsid w:val="00602101"/>
    <w:rsid w:val="006114DF"/>
    <w:rsid w:val="00624D02"/>
    <w:rsid w:val="0064130E"/>
    <w:rsid w:val="006560C3"/>
    <w:rsid w:val="00666962"/>
    <w:rsid w:val="00674312"/>
    <w:rsid w:val="006868D0"/>
    <w:rsid w:val="006872DC"/>
    <w:rsid w:val="00696468"/>
    <w:rsid w:val="006A770E"/>
    <w:rsid w:val="006D1271"/>
    <w:rsid w:val="0072796C"/>
    <w:rsid w:val="00740CD8"/>
    <w:rsid w:val="00743C16"/>
    <w:rsid w:val="00750032"/>
    <w:rsid w:val="00780488"/>
    <w:rsid w:val="00785270"/>
    <w:rsid w:val="007E3847"/>
    <w:rsid w:val="007F2FC7"/>
    <w:rsid w:val="008140BC"/>
    <w:rsid w:val="00835ABC"/>
    <w:rsid w:val="00876D1E"/>
    <w:rsid w:val="008854D3"/>
    <w:rsid w:val="00886E0C"/>
    <w:rsid w:val="00896E95"/>
    <w:rsid w:val="008B4996"/>
    <w:rsid w:val="008C67F0"/>
    <w:rsid w:val="009047B3"/>
    <w:rsid w:val="00921255"/>
    <w:rsid w:val="00972F50"/>
    <w:rsid w:val="00984DC3"/>
    <w:rsid w:val="009B31FC"/>
    <w:rsid w:val="009B3A65"/>
    <w:rsid w:val="009D3378"/>
    <w:rsid w:val="00A032E5"/>
    <w:rsid w:val="00A2427F"/>
    <w:rsid w:val="00A31942"/>
    <w:rsid w:val="00A414C4"/>
    <w:rsid w:val="00A46EBA"/>
    <w:rsid w:val="00A66A7B"/>
    <w:rsid w:val="00A7356F"/>
    <w:rsid w:val="00A77E6A"/>
    <w:rsid w:val="00A914DE"/>
    <w:rsid w:val="00AB6421"/>
    <w:rsid w:val="00AC5133"/>
    <w:rsid w:val="00B83F69"/>
    <w:rsid w:val="00BF78FE"/>
    <w:rsid w:val="00C204A5"/>
    <w:rsid w:val="00C25127"/>
    <w:rsid w:val="00C63219"/>
    <w:rsid w:val="00C84B74"/>
    <w:rsid w:val="00CB0F87"/>
    <w:rsid w:val="00CD1DB3"/>
    <w:rsid w:val="00CE27CE"/>
    <w:rsid w:val="00CE3AA5"/>
    <w:rsid w:val="00D10787"/>
    <w:rsid w:val="00D440D4"/>
    <w:rsid w:val="00D8572F"/>
    <w:rsid w:val="00DC3B1D"/>
    <w:rsid w:val="00E05099"/>
    <w:rsid w:val="00E34608"/>
    <w:rsid w:val="00E35539"/>
    <w:rsid w:val="00E52015"/>
    <w:rsid w:val="00E57053"/>
    <w:rsid w:val="00E6618C"/>
    <w:rsid w:val="00E70F8E"/>
    <w:rsid w:val="00E7333C"/>
    <w:rsid w:val="00E95DE1"/>
    <w:rsid w:val="00E96338"/>
    <w:rsid w:val="00ED7E04"/>
    <w:rsid w:val="00EE4111"/>
    <w:rsid w:val="00F039E1"/>
    <w:rsid w:val="00F2238F"/>
    <w:rsid w:val="00F23BB5"/>
    <w:rsid w:val="00F319FA"/>
    <w:rsid w:val="00FC6AC1"/>
    <w:rsid w:val="00FF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C23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34C"/>
    <w:pPr>
      <w:spacing w:after="160" w:line="259" w:lineRule="auto"/>
    </w:pPr>
    <w:rPr>
      <w:sz w:val="22"/>
      <w:szCs w:val="22"/>
      <w:lang w:val="en-AU"/>
    </w:rPr>
  </w:style>
  <w:style w:type="paragraph" w:styleId="Heading1">
    <w:name w:val="heading 1"/>
    <w:basedOn w:val="Normal"/>
    <w:next w:val="Normal"/>
    <w:link w:val="Heading1Char"/>
    <w:uiPriority w:val="9"/>
    <w:qFormat/>
    <w:rsid w:val="006743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B83F69"/>
    <w:pPr>
      <w:widowControl w:val="0"/>
      <w:ind w:left="194"/>
      <w:outlineLvl w:val="2"/>
    </w:pPr>
    <w:rPr>
      <w:rFonts w:ascii="Arial" w:eastAsia="Arial" w:hAnsi="Arial"/>
      <w:b/>
      <w:bCs/>
      <w:sz w:val="20"/>
      <w:szCs w:val="20"/>
    </w:rPr>
  </w:style>
  <w:style w:type="paragraph" w:styleId="Heading5">
    <w:name w:val="heading 5"/>
    <w:basedOn w:val="Normal"/>
    <w:next w:val="Normal"/>
    <w:link w:val="Heading5Char"/>
    <w:uiPriority w:val="9"/>
    <w:unhideWhenUsed/>
    <w:qFormat/>
    <w:rsid w:val="003E5B9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34C"/>
    <w:rPr>
      <w:sz w:val="22"/>
      <w:szCs w:val="22"/>
      <w:lang w:val="en-AU"/>
    </w:rPr>
  </w:style>
  <w:style w:type="paragraph" w:styleId="Footer">
    <w:name w:val="footer"/>
    <w:basedOn w:val="Normal"/>
    <w:link w:val="FooterChar"/>
    <w:uiPriority w:val="99"/>
    <w:unhideWhenUsed/>
    <w:rsid w:val="000B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4C"/>
    <w:rPr>
      <w:sz w:val="22"/>
      <w:szCs w:val="22"/>
      <w:lang w:val="en-AU"/>
    </w:rPr>
  </w:style>
  <w:style w:type="paragraph" w:styleId="BodyText">
    <w:name w:val="Body Text"/>
    <w:basedOn w:val="Normal"/>
    <w:link w:val="BodyTextChar"/>
    <w:uiPriority w:val="1"/>
    <w:qFormat/>
    <w:rsid w:val="000D57FD"/>
    <w:pPr>
      <w:widowControl w:val="0"/>
      <w:spacing w:before="115"/>
      <w:ind w:left="948" w:hanging="340"/>
    </w:pPr>
    <w:rPr>
      <w:rFonts w:ascii="Franklin Gothic Book" w:eastAsia="Franklin Gothic Book" w:hAnsi="Franklin Gothic Book"/>
      <w:sz w:val="20"/>
      <w:szCs w:val="20"/>
    </w:rPr>
  </w:style>
  <w:style w:type="character" w:customStyle="1" w:styleId="BodyTextChar">
    <w:name w:val="Body Text Char"/>
    <w:basedOn w:val="DefaultParagraphFont"/>
    <w:link w:val="BodyText"/>
    <w:uiPriority w:val="1"/>
    <w:rsid w:val="000D57FD"/>
    <w:rPr>
      <w:rFonts w:ascii="Franklin Gothic Book" w:eastAsia="Franklin Gothic Book" w:hAnsi="Franklin Gothic Book"/>
      <w:sz w:val="20"/>
      <w:szCs w:val="20"/>
    </w:rPr>
  </w:style>
  <w:style w:type="paragraph" w:customStyle="1" w:styleId="QCNormal">
    <w:name w:val="QC Normal"/>
    <w:basedOn w:val="Footer"/>
    <w:uiPriority w:val="29"/>
    <w:rsid w:val="000D57FD"/>
    <w:pPr>
      <w:framePr w:vSpace="240" w:wrap="around" w:hAnchor="margin" w:xAlign="right" w:yAlign="bottom"/>
      <w:tabs>
        <w:tab w:val="clear" w:pos="4513"/>
        <w:tab w:val="clear" w:pos="9026"/>
      </w:tabs>
    </w:pPr>
    <w:rPr>
      <w:rFonts w:ascii="Arial Narrow" w:hAnsi="Arial Narrow"/>
      <w:color w:val="44546A" w:themeColor="text2"/>
      <w:sz w:val="18"/>
    </w:rPr>
  </w:style>
  <w:style w:type="table" w:customStyle="1" w:styleId="xTrainingQC">
    <w:name w:val="xTrainingQC"/>
    <w:basedOn w:val="TableNormal"/>
    <w:uiPriority w:val="99"/>
    <w:rsid w:val="000D57FD"/>
    <w:rPr>
      <w:rFonts w:ascii="Arial Narrow" w:hAnsi="Arial Narrow"/>
      <w:color w:val="44546A" w:themeColor="text2"/>
      <w:sz w:val="18"/>
      <w:szCs w:val="22"/>
      <w:lang w:val="en-AU"/>
    </w:rPr>
    <w:tblPr>
      <w:tblStyleRowBandSize w:val="1"/>
      <w:tblStyleColBandSize w:val="1"/>
      <w:jc w:val="right"/>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CellMar>
        <w:left w:w="57" w:type="dxa"/>
        <w:right w:w="57" w:type="dxa"/>
      </w:tblCellMar>
    </w:tblPr>
    <w:trPr>
      <w:jc w:val="right"/>
    </w:trPr>
    <w:tblStylePr w:type="firstCol">
      <w:pPr>
        <w:wordWrap/>
        <w:spacing w:beforeLines="0" w:before="0" w:beforeAutospacing="0" w:afterLines="0" w:after="0" w:afterAutospacing="0" w:line="240" w:lineRule="auto"/>
      </w:pPr>
      <w:rPr>
        <w:b/>
        <w:i w:val="0"/>
      </w:rPr>
      <w:tblPr/>
      <w:tcPr>
        <w:shd w:val="clear" w:color="auto" w:fill="D5DCE4" w:themeFill="text2" w:themeFillTint="33"/>
      </w:tcPr>
    </w:tblStylePr>
  </w:style>
  <w:style w:type="paragraph" w:customStyle="1" w:styleId="QCBullet">
    <w:name w:val="QC Bullet"/>
    <w:basedOn w:val="Normal"/>
    <w:uiPriority w:val="29"/>
    <w:qFormat/>
    <w:rsid w:val="000D57FD"/>
    <w:pPr>
      <w:framePr w:vSpace="238" w:wrap="around" w:hAnchor="margin" w:xAlign="right" w:yAlign="bottom"/>
      <w:numPr>
        <w:numId w:val="1"/>
      </w:numPr>
    </w:pPr>
    <w:rPr>
      <w:rFonts w:ascii="Arial Narrow" w:hAnsi="Arial Narrow"/>
      <w:color w:val="44546A" w:themeColor="text2"/>
      <w:sz w:val="18"/>
    </w:rPr>
  </w:style>
  <w:style w:type="paragraph" w:customStyle="1" w:styleId="QCDate">
    <w:name w:val="QC Date"/>
    <w:basedOn w:val="Normal"/>
    <w:uiPriority w:val="29"/>
    <w:qFormat/>
    <w:rsid w:val="000D57FD"/>
    <w:pPr>
      <w:framePr w:vSpace="238" w:wrap="around" w:vAnchor="page" w:hAnchor="text" w:xAlign="center" w:y="16217"/>
      <w:suppressOverlap/>
    </w:pPr>
    <w:rPr>
      <w:rFonts w:ascii="Arial Narrow" w:hAnsi="Arial Narrow"/>
      <w:color w:val="44546A" w:themeColor="text2"/>
      <w:sz w:val="18"/>
    </w:rPr>
  </w:style>
  <w:style w:type="paragraph" w:customStyle="1" w:styleId="QCVersionNo">
    <w:name w:val="QC Version No"/>
    <w:basedOn w:val="Normal"/>
    <w:uiPriority w:val="29"/>
    <w:qFormat/>
    <w:rsid w:val="000D57FD"/>
    <w:pPr>
      <w:framePr w:vSpace="240" w:wrap="around" w:hAnchor="margin" w:xAlign="right" w:yAlign="bottom"/>
    </w:pPr>
    <w:rPr>
      <w:rFonts w:ascii="Arial Narrow" w:hAnsi="Arial Narrow"/>
      <w:color w:val="44546A" w:themeColor="text2"/>
      <w:sz w:val="18"/>
    </w:rPr>
  </w:style>
  <w:style w:type="character" w:customStyle="1" w:styleId="Heading3Char">
    <w:name w:val="Heading 3 Char"/>
    <w:basedOn w:val="DefaultParagraphFont"/>
    <w:link w:val="Heading3"/>
    <w:uiPriority w:val="1"/>
    <w:rsid w:val="00B83F69"/>
    <w:rPr>
      <w:rFonts w:ascii="Arial" w:eastAsia="Arial" w:hAnsi="Arial"/>
      <w:b/>
      <w:bCs/>
      <w:sz w:val="20"/>
      <w:szCs w:val="20"/>
    </w:rPr>
  </w:style>
  <w:style w:type="character" w:customStyle="1" w:styleId="Heading1Char">
    <w:name w:val="Heading 1 Char"/>
    <w:basedOn w:val="DefaultParagraphFont"/>
    <w:link w:val="Heading1"/>
    <w:uiPriority w:val="9"/>
    <w:rsid w:val="006743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058D8"/>
    <w:pPr>
      <w:ind w:left="720"/>
      <w:contextualSpacing/>
    </w:pPr>
  </w:style>
  <w:style w:type="paragraph" w:styleId="NormalWeb">
    <w:name w:val="Normal (Web)"/>
    <w:basedOn w:val="Normal"/>
    <w:uiPriority w:val="99"/>
    <w:semiHidden/>
    <w:unhideWhenUsed/>
    <w:rsid w:val="00DC3B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C3B1D"/>
    <w:rPr>
      <w:color w:val="0000FF"/>
      <w:u w:val="single"/>
    </w:rPr>
  </w:style>
  <w:style w:type="paragraph" w:customStyle="1" w:styleId="educatito-hover-color-orange">
    <w:name w:val="educatito-hover-color-orange"/>
    <w:basedOn w:val="Normal"/>
    <w:rsid w:val="00DC3B1D"/>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rsid w:val="006868D0"/>
    <w:rPr>
      <w:color w:val="605E5C"/>
      <w:shd w:val="clear" w:color="auto" w:fill="E1DFDD"/>
    </w:rPr>
  </w:style>
  <w:style w:type="paragraph" w:styleId="BalloonText">
    <w:name w:val="Balloon Text"/>
    <w:basedOn w:val="Normal"/>
    <w:link w:val="BalloonTextChar"/>
    <w:uiPriority w:val="99"/>
    <w:semiHidden/>
    <w:unhideWhenUsed/>
    <w:rsid w:val="00743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C16"/>
    <w:rPr>
      <w:rFonts w:ascii="Segoe UI" w:hAnsi="Segoe UI" w:cs="Segoe UI"/>
      <w:sz w:val="18"/>
      <w:szCs w:val="18"/>
    </w:rPr>
  </w:style>
  <w:style w:type="character" w:styleId="CommentReference">
    <w:name w:val="annotation reference"/>
    <w:basedOn w:val="DefaultParagraphFont"/>
    <w:uiPriority w:val="99"/>
    <w:semiHidden/>
    <w:unhideWhenUsed/>
    <w:rsid w:val="008854D3"/>
    <w:rPr>
      <w:sz w:val="16"/>
      <w:szCs w:val="16"/>
    </w:rPr>
  </w:style>
  <w:style w:type="paragraph" w:styleId="CommentText">
    <w:name w:val="annotation text"/>
    <w:basedOn w:val="Normal"/>
    <w:link w:val="CommentTextChar"/>
    <w:uiPriority w:val="99"/>
    <w:semiHidden/>
    <w:unhideWhenUsed/>
    <w:rsid w:val="008854D3"/>
    <w:rPr>
      <w:sz w:val="20"/>
      <w:szCs w:val="20"/>
    </w:rPr>
  </w:style>
  <w:style w:type="character" w:customStyle="1" w:styleId="CommentTextChar">
    <w:name w:val="Comment Text Char"/>
    <w:basedOn w:val="DefaultParagraphFont"/>
    <w:link w:val="CommentText"/>
    <w:uiPriority w:val="99"/>
    <w:semiHidden/>
    <w:rsid w:val="008854D3"/>
    <w:rPr>
      <w:sz w:val="20"/>
      <w:szCs w:val="20"/>
    </w:rPr>
  </w:style>
  <w:style w:type="paragraph" w:styleId="CommentSubject">
    <w:name w:val="annotation subject"/>
    <w:basedOn w:val="CommentText"/>
    <w:next w:val="CommentText"/>
    <w:link w:val="CommentSubjectChar"/>
    <w:uiPriority w:val="99"/>
    <w:semiHidden/>
    <w:unhideWhenUsed/>
    <w:rsid w:val="008854D3"/>
    <w:rPr>
      <w:b/>
      <w:bCs/>
    </w:rPr>
  </w:style>
  <w:style w:type="character" w:customStyle="1" w:styleId="CommentSubjectChar">
    <w:name w:val="Comment Subject Char"/>
    <w:basedOn w:val="CommentTextChar"/>
    <w:link w:val="CommentSubject"/>
    <w:uiPriority w:val="99"/>
    <w:semiHidden/>
    <w:rsid w:val="008854D3"/>
    <w:rPr>
      <w:b/>
      <w:bCs/>
      <w:sz w:val="20"/>
      <w:szCs w:val="20"/>
    </w:rPr>
  </w:style>
  <w:style w:type="character" w:customStyle="1" w:styleId="Heading5Char">
    <w:name w:val="Heading 5 Char"/>
    <w:basedOn w:val="DefaultParagraphFont"/>
    <w:link w:val="Heading5"/>
    <w:uiPriority w:val="9"/>
    <w:rsid w:val="003E5B94"/>
    <w:rPr>
      <w:rFonts w:asciiTheme="majorHAnsi" w:eastAsiaTheme="majorEastAsia" w:hAnsiTheme="majorHAnsi" w:cstheme="majorBidi"/>
      <w:color w:val="2F5496" w:themeColor="accent1" w:themeShade="BF"/>
    </w:rPr>
  </w:style>
  <w:style w:type="character" w:customStyle="1" w:styleId="UnresolvedMention">
    <w:name w:val="Unresolved Mention"/>
    <w:basedOn w:val="DefaultParagraphFont"/>
    <w:uiPriority w:val="99"/>
    <w:semiHidden/>
    <w:unhideWhenUsed/>
    <w:rsid w:val="00CD1DB3"/>
    <w:rPr>
      <w:color w:val="605E5C"/>
      <w:shd w:val="clear" w:color="auto" w:fill="E1DFDD"/>
    </w:rPr>
  </w:style>
  <w:style w:type="table" w:styleId="TableGrid">
    <w:name w:val="Table Grid"/>
    <w:basedOn w:val="TableNormal"/>
    <w:uiPriority w:val="39"/>
    <w:rsid w:val="00F23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6081">
      <w:bodyDiv w:val="1"/>
      <w:marLeft w:val="0"/>
      <w:marRight w:val="0"/>
      <w:marTop w:val="0"/>
      <w:marBottom w:val="0"/>
      <w:divBdr>
        <w:top w:val="none" w:sz="0" w:space="0" w:color="auto"/>
        <w:left w:val="none" w:sz="0" w:space="0" w:color="auto"/>
        <w:bottom w:val="none" w:sz="0" w:space="0" w:color="auto"/>
        <w:right w:val="none" w:sz="0" w:space="0" w:color="auto"/>
      </w:divBdr>
    </w:div>
    <w:div w:id="510341348">
      <w:bodyDiv w:val="1"/>
      <w:marLeft w:val="0"/>
      <w:marRight w:val="0"/>
      <w:marTop w:val="0"/>
      <w:marBottom w:val="0"/>
      <w:divBdr>
        <w:top w:val="none" w:sz="0" w:space="0" w:color="auto"/>
        <w:left w:val="none" w:sz="0" w:space="0" w:color="auto"/>
        <w:bottom w:val="none" w:sz="0" w:space="0" w:color="auto"/>
        <w:right w:val="none" w:sz="0" w:space="0" w:color="auto"/>
      </w:divBdr>
      <w:divsChild>
        <w:div w:id="884218809">
          <w:marLeft w:val="0"/>
          <w:marRight w:val="0"/>
          <w:marTop w:val="0"/>
          <w:marBottom w:val="0"/>
          <w:divBdr>
            <w:top w:val="none" w:sz="0" w:space="0" w:color="auto"/>
            <w:left w:val="none" w:sz="0" w:space="0" w:color="auto"/>
            <w:bottom w:val="none" w:sz="0" w:space="0" w:color="auto"/>
            <w:right w:val="none" w:sz="0" w:space="0" w:color="auto"/>
          </w:divBdr>
          <w:divsChild>
            <w:div w:id="113065339">
              <w:marLeft w:val="0"/>
              <w:marRight w:val="0"/>
              <w:marTop w:val="0"/>
              <w:marBottom w:val="0"/>
              <w:divBdr>
                <w:top w:val="none" w:sz="0" w:space="0" w:color="auto"/>
                <w:left w:val="none" w:sz="0" w:space="0" w:color="auto"/>
                <w:bottom w:val="none" w:sz="0" w:space="0" w:color="auto"/>
                <w:right w:val="none" w:sz="0" w:space="0" w:color="auto"/>
              </w:divBdr>
              <w:divsChild>
                <w:div w:id="13047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761">
      <w:bodyDiv w:val="1"/>
      <w:marLeft w:val="0"/>
      <w:marRight w:val="0"/>
      <w:marTop w:val="0"/>
      <w:marBottom w:val="0"/>
      <w:divBdr>
        <w:top w:val="none" w:sz="0" w:space="0" w:color="auto"/>
        <w:left w:val="none" w:sz="0" w:space="0" w:color="auto"/>
        <w:bottom w:val="none" w:sz="0" w:space="0" w:color="auto"/>
        <w:right w:val="none" w:sz="0" w:space="0" w:color="auto"/>
      </w:divBdr>
      <w:divsChild>
        <w:div w:id="465977894">
          <w:marLeft w:val="0"/>
          <w:marRight w:val="0"/>
          <w:marTop w:val="0"/>
          <w:marBottom w:val="0"/>
          <w:divBdr>
            <w:top w:val="none" w:sz="0" w:space="0" w:color="auto"/>
            <w:left w:val="none" w:sz="0" w:space="0" w:color="auto"/>
            <w:bottom w:val="none" w:sz="0" w:space="0" w:color="auto"/>
            <w:right w:val="none" w:sz="0" w:space="0" w:color="auto"/>
          </w:divBdr>
          <w:divsChild>
            <w:div w:id="1031806328">
              <w:marLeft w:val="0"/>
              <w:marRight w:val="0"/>
              <w:marTop w:val="0"/>
              <w:marBottom w:val="0"/>
              <w:divBdr>
                <w:top w:val="none" w:sz="0" w:space="0" w:color="auto"/>
                <w:left w:val="none" w:sz="0" w:space="0" w:color="auto"/>
                <w:bottom w:val="none" w:sz="0" w:space="0" w:color="auto"/>
                <w:right w:val="none" w:sz="0" w:space="0" w:color="auto"/>
              </w:divBdr>
            </w:div>
          </w:divsChild>
        </w:div>
        <w:div w:id="196547640">
          <w:marLeft w:val="0"/>
          <w:marRight w:val="0"/>
          <w:marTop w:val="0"/>
          <w:marBottom w:val="0"/>
          <w:divBdr>
            <w:top w:val="none" w:sz="0" w:space="0" w:color="auto"/>
            <w:left w:val="none" w:sz="0" w:space="0" w:color="auto"/>
            <w:bottom w:val="none" w:sz="0" w:space="0" w:color="auto"/>
            <w:right w:val="none" w:sz="0" w:space="0" w:color="auto"/>
          </w:divBdr>
          <w:divsChild>
            <w:div w:id="1244726563">
              <w:marLeft w:val="0"/>
              <w:marRight w:val="0"/>
              <w:marTop w:val="0"/>
              <w:marBottom w:val="0"/>
              <w:divBdr>
                <w:top w:val="none" w:sz="0" w:space="0" w:color="auto"/>
                <w:left w:val="none" w:sz="0" w:space="0" w:color="auto"/>
                <w:bottom w:val="none" w:sz="0" w:space="0" w:color="auto"/>
                <w:right w:val="none" w:sz="0" w:space="0" w:color="auto"/>
              </w:divBdr>
            </w:div>
          </w:divsChild>
        </w:div>
        <w:div w:id="392700201">
          <w:marLeft w:val="0"/>
          <w:marRight w:val="0"/>
          <w:marTop w:val="0"/>
          <w:marBottom w:val="0"/>
          <w:divBdr>
            <w:top w:val="none" w:sz="0" w:space="0" w:color="auto"/>
            <w:left w:val="none" w:sz="0" w:space="0" w:color="auto"/>
            <w:bottom w:val="none" w:sz="0" w:space="0" w:color="auto"/>
            <w:right w:val="none" w:sz="0" w:space="0" w:color="auto"/>
          </w:divBdr>
          <w:divsChild>
            <w:div w:id="1661156827">
              <w:marLeft w:val="0"/>
              <w:marRight w:val="0"/>
              <w:marTop w:val="0"/>
              <w:marBottom w:val="0"/>
              <w:divBdr>
                <w:top w:val="none" w:sz="0" w:space="0" w:color="auto"/>
                <w:left w:val="none" w:sz="0" w:space="0" w:color="auto"/>
                <w:bottom w:val="none" w:sz="0" w:space="0" w:color="auto"/>
                <w:right w:val="none" w:sz="0" w:space="0" w:color="auto"/>
              </w:divBdr>
              <w:divsChild>
                <w:div w:id="437336334">
                  <w:marLeft w:val="0"/>
                  <w:marRight w:val="0"/>
                  <w:marTop w:val="0"/>
                  <w:marBottom w:val="0"/>
                  <w:divBdr>
                    <w:top w:val="none" w:sz="0" w:space="0" w:color="auto"/>
                    <w:left w:val="none" w:sz="0" w:space="0" w:color="auto"/>
                    <w:bottom w:val="none" w:sz="0" w:space="0" w:color="auto"/>
                    <w:right w:val="none" w:sz="0" w:space="0" w:color="auto"/>
                  </w:divBdr>
                  <w:divsChild>
                    <w:div w:id="1648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37668">
      <w:bodyDiv w:val="1"/>
      <w:marLeft w:val="0"/>
      <w:marRight w:val="0"/>
      <w:marTop w:val="0"/>
      <w:marBottom w:val="0"/>
      <w:divBdr>
        <w:top w:val="none" w:sz="0" w:space="0" w:color="auto"/>
        <w:left w:val="none" w:sz="0" w:space="0" w:color="auto"/>
        <w:bottom w:val="none" w:sz="0" w:space="0" w:color="auto"/>
        <w:right w:val="none" w:sz="0" w:space="0" w:color="auto"/>
      </w:divBdr>
      <w:divsChild>
        <w:div w:id="1384984942">
          <w:marLeft w:val="0"/>
          <w:marRight w:val="0"/>
          <w:marTop w:val="0"/>
          <w:marBottom w:val="0"/>
          <w:divBdr>
            <w:top w:val="none" w:sz="0" w:space="0" w:color="auto"/>
            <w:left w:val="none" w:sz="0" w:space="0" w:color="auto"/>
            <w:bottom w:val="none" w:sz="0" w:space="0" w:color="auto"/>
            <w:right w:val="none" w:sz="0" w:space="0" w:color="auto"/>
          </w:divBdr>
          <w:divsChild>
            <w:div w:id="1647081616">
              <w:marLeft w:val="0"/>
              <w:marRight w:val="0"/>
              <w:marTop w:val="0"/>
              <w:marBottom w:val="0"/>
              <w:divBdr>
                <w:top w:val="none" w:sz="0" w:space="0" w:color="auto"/>
                <w:left w:val="none" w:sz="0" w:space="0" w:color="auto"/>
                <w:bottom w:val="none" w:sz="0" w:space="0" w:color="auto"/>
                <w:right w:val="none" w:sz="0" w:space="0" w:color="auto"/>
              </w:divBdr>
              <w:divsChild>
                <w:div w:id="62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8296">
      <w:bodyDiv w:val="1"/>
      <w:marLeft w:val="0"/>
      <w:marRight w:val="0"/>
      <w:marTop w:val="0"/>
      <w:marBottom w:val="0"/>
      <w:divBdr>
        <w:top w:val="none" w:sz="0" w:space="0" w:color="auto"/>
        <w:left w:val="none" w:sz="0" w:space="0" w:color="auto"/>
        <w:bottom w:val="none" w:sz="0" w:space="0" w:color="auto"/>
        <w:right w:val="none" w:sz="0" w:space="0" w:color="auto"/>
      </w:divBdr>
      <w:divsChild>
        <w:div w:id="1677029803">
          <w:marLeft w:val="0"/>
          <w:marRight w:val="0"/>
          <w:marTop w:val="0"/>
          <w:marBottom w:val="0"/>
          <w:divBdr>
            <w:top w:val="none" w:sz="0" w:space="0" w:color="auto"/>
            <w:left w:val="none" w:sz="0" w:space="0" w:color="auto"/>
            <w:bottom w:val="none" w:sz="0" w:space="0" w:color="auto"/>
            <w:right w:val="none" w:sz="0" w:space="0" w:color="auto"/>
          </w:divBdr>
          <w:divsChild>
            <w:div w:id="1038241647">
              <w:marLeft w:val="0"/>
              <w:marRight w:val="0"/>
              <w:marTop w:val="0"/>
              <w:marBottom w:val="0"/>
              <w:divBdr>
                <w:top w:val="none" w:sz="0" w:space="0" w:color="auto"/>
                <w:left w:val="none" w:sz="0" w:space="0" w:color="auto"/>
                <w:bottom w:val="none" w:sz="0" w:space="0" w:color="auto"/>
                <w:right w:val="none" w:sz="0" w:space="0" w:color="auto"/>
              </w:divBdr>
              <w:divsChild>
                <w:div w:id="1895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edu.au" TargetMode="External"/><Relationship Id="rId3" Type="http://schemas.openxmlformats.org/officeDocument/2006/relationships/settings" Target="settings.xml"/><Relationship Id="rId7" Type="http://schemas.openxmlformats.org/officeDocument/2006/relationships/hyperlink" Target="https://fox.edu.au/wp-content/uploads/Application-for-Special-Consideration.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1016</Words>
  <Characters>5746</Characters>
  <Application>Microsoft Office Word</Application>
  <DocSecurity>0</DocSecurity>
  <Lines>88</Lines>
  <Paragraphs>51</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Parsonson</dc:creator>
  <cp:keywords/>
  <dc:description/>
  <cp:lastModifiedBy>RTOADM</cp:lastModifiedBy>
  <cp:revision>17</cp:revision>
  <cp:lastPrinted>2025-05-09T19:13:00Z</cp:lastPrinted>
  <dcterms:created xsi:type="dcterms:W3CDTF">2025-05-01T04:38:00Z</dcterms:created>
  <dcterms:modified xsi:type="dcterms:W3CDTF">2025-05-09T19:15:00Z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 and ANMAC for AHPRA</vt:lpwstr>
  </property>
  <property fmtid="{D5CDD505-2E9C-101B-9397-08002B2CF9AE}" pid="3" name="AdminEmail">
    <vt:lpwstr>admin@foxedu.com.au</vt:lpwstr>
  </property>
  <property fmtid="{D5CDD505-2E9C-101B-9397-08002B2CF9AE}" pid="4" name="CRICOSnumber">
    <vt:lpwstr>&lt;CRICOS Number&gt;</vt:lpwstr>
  </property>
  <property fmtid="{D5CDD505-2E9C-101B-9397-08002B2CF9AE}" pid="5" name="PhoneNumber">
    <vt:lpwstr>61889275995</vt:lpwstr>
  </property>
  <property fmtid="{D5CDD505-2E9C-101B-9397-08002B2CF9AE}" pid="6" name="Position1">
    <vt:lpwstr>Director</vt:lpwstr>
  </property>
  <property fmtid="{D5CDD505-2E9C-101B-9397-08002B2CF9AE}" pid="7" name="Position2">
    <vt:lpwstr>Quality Officer</vt:lpwstr>
  </property>
  <property fmtid="{D5CDD505-2E9C-101B-9397-08002B2CF9AE}" pid="8" name="Position3">
    <vt:lpwstr>Educator</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0810</vt:lpwstr>
  </property>
  <property fmtid="{D5CDD505-2E9C-101B-9397-08002B2CF9AE}" pid="12" name="RTOnumber">
    <vt:lpwstr>40674</vt:lpwstr>
  </property>
  <property fmtid="{D5CDD505-2E9C-101B-9397-08002B2CF9AE}" pid="13" name="State">
    <vt:lpwstr>NT</vt:lpwstr>
  </property>
  <property fmtid="{D5CDD505-2E9C-101B-9397-08002B2CF9AE}" pid="14" name="StreetAddress">
    <vt:lpwstr>The Old Nakara Shopping Centre, Corner Macredie Street and Nakara Terrace</vt:lpwstr>
  </property>
  <property fmtid="{D5CDD505-2E9C-101B-9397-08002B2CF9AE}" pid="15" name="Suburb">
    <vt:lpwstr>Nakara</vt:lpwstr>
  </property>
  <property fmtid="{D5CDD505-2E9C-101B-9397-08002B2CF9AE}" pid="16" name="cmsApprovedBy">
    <vt:lpwstr>Administrator</vt:lpwstr>
  </property>
  <property fmtid="{D5CDD505-2E9C-101B-9397-08002B2CF9AE}" pid="17" name="cmsApprovedDate">
    <vt:lpwstr>10-05-2025</vt:lpwstr>
  </property>
  <property fmtid="{D5CDD505-2E9C-101B-9397-08002B2CF9AE}" pid="18" name="cmsDocCreatedBy">
    <vt:lpwstr>Administrator</vt:lpwstr>
  </property>
  <property fmtid="{D5CDD505-2E9C-101B-9397-08002B2CF9AE}" pid="19" name="cmsDocName">
    <vt:lpwstr>Course Progress and Monitoring Attendance</vt:lpwstr>
  </property>
  <property fmtid="{D5CDD505-2E9C-101B-9397-08002B2CF9AE}" pid="20" name="cmsDocLocation">
    <vt:lpwstr>NovaCore CMS\CRICOS 2018\Policy\</vt:lpwstr>
  </property>
  <property fmtid="{D5CDD505-2E9C-101B-9397-08002B2CF9AE}" pid="21" name="cmsDocNumber">
    <vt:lpwstr>2281</vt:lpwstr>
  </property>
  <property fmtid="{D5CDD505-2E9C-101B-9397-08002B2CF9AE}" pid="22" name="cmsNextReviewDate">
    <vt:lpwstr>10-05-2026</vt:lpwstr>
  </property>
  <property fmtid="{D5CDD505-2E9C-101B-9397-08002B2CF9AE}" pid="23" name="cmsRevision">
    <vt:lpwstr>1.5</vt:lpwstr>
  </property>
  <property fmtid="{D5CDD505-2E9C-101B-9397-08002B2CF9AE}" pid="24" name="cmsRevisionDate">
    <vt:lpwstr>10-05-2025</vt:lpwstr>
  </property>
</Properties>
</file>