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827B9" w14:textId="0A82F4F9" w:rsidR="00047724" w:rsidRPr="001D75DB" w:rsidRDefault="00047724" w:rsidP="001D75DB">
      <w:pPr>
        <w:pStyle w:val="Heading1"/>
        <w:keepLines/>
        <w:spacing w:before="0" w:after="0" w:line="240" w:lineRule="auto"/>
        <w:rPr>
          <w:rFonts w:asciiTheme="minorHAnsi" w:eastAsiaTheme="majorEastAsia" w:hAnsiTheme="minorHAnsi" w:cstheme="minorHAnsi"/>
          <w:b w:val="0"/>
          <w:color w:val="2F5496" w:themeColor="accent1" w:themeShade="BF"/>
          <w:szCs w:val="28"/>
          <w:lang w:val="en-US"/>
        </w:rPr>
      </w:pPr>
      <w:r w:rsidRPr="001D75DB">
        <w:rPr>
          <w:rFonts w:asciiTheme="minorHAnsi" w:eastAsiaTheme="majorEastAsia" w:hAnsiTheme="minorHAnsi" w:cstheme="minorHAnsi"/>
          <w:b w:val="0"/>
          <w:color w:val="2F5496" w:themeColor="accent1" w:themeShade="BF"/>
          <w:szCs w:val="28"/>
          <w:lang w:val="en-US"/>
        </w:rPr>
        <w:t>Complaints and Appeals Policy</w:t>
      </w:r>
    </w:p>
    <w:p w14:paraId="5CFCA04A" w14:textId="77777777" w:rsidR="007A3896" w:rsidRPr="007A3896" w:rsidRDefault="007A3896" w:rsidP="007A3896"/>
    <w:p w14:paraId="0A98B0A3" w14:textId="629E1AAF" w:rsidR="00047724" w:rsidRPr="009F54CC" w:rsidRDefault="00047724" w:rsidP="007A3896">
      <w:pPr>
        <w:pStyle w:val="Heading1"/>
        <w:spacing w:before="0" w:after="0" w:line="240" w:lineRule="auto"/>
        <w:rPr>
          <w:rFonts w:asciiTheme="minorHAnsi" w:hAnsiTheme="minorHAnsi" w:cstheme="minorHAnsi"/>
          <w:b w:val="0"/>
          <w:color w:val="1F3864" w:themeColor="accent1" w:themeShade="80"/>
          <w:sz w:val="20"/>
          <w:szCs w:val="20"/>
        </w:rPr>
      </w:pPr>
      <w:r w:rsidRPr="009F54CC">
        <w:rPr>
          <w:rFonts w:asciiTheme="minorHAnsi" w:hAnsiTheme="minorHAnsi" w:cstheme="minorHAnsi"/>
          <w:b w:val="0"/>
          <w:color w:val="1F3864" w:themeColor="accent1" w:themeShade="80"/>
          <w:sz w:val="20"/>
          <w:szCs w:val="20"/>
        </w:rPr>
        <w:t>Purpose</w:t>
      </w:r>
    </w:p>
    <w:p w14:paraId="5FC2C2AC" w14:textId="77777777" w:rsidR="00E01651" w:rsidRDefault="00047724" w:rsidP="00E01651">
      <w:pPr>
        <w:jc w:val="both"/>
        <w:rPr>
          <w:rFonts w:cstheme="minorHAnsi"/>
          <w:sz w:val="20"/>
          <w:szCs w:val="20"/>
        </w:rPr>
      </w:pPr>
      <w:r w:rsidRPr="00E73FB7">
        <w:rPr>
          <w:rFonts w:cstheme="minorHAnsi"/>
          <w:sz w:val="20"/>
          <w:szCs w:val="20"/>
        </w:rPr>
        <w:t xml:space="preserve">As a Registered Training Organisation (RTO) </w:t>
      </w:r>
      <w:r w:rsidR="0017281F" w:rsidRPr="00E73FB7">
        <w:rPr>
          <w:rFonts w:cstheme="minorHAnsi"/>
          <w:sz w:val="20"/>
          <w:szCs w:val="20"/>
        </w:rPr>
        <w:t>Fox Education and Consultancy (</w:t>
      </w:r>
      <w:r w:rsidR="009B317E">
        <w:rPr>
          <w:rFonts w:cstheme="minorHAnsi"/>
          <w:sz w:val="20"/>
          <w:szCs w:val="20"/>
        </w:rPr>
        <w:t>“</w:t>
      </w:r>
      <w:r w:rsidR="0017281F" w:rsidRPr="00E73FB7">
        <w:rPr>
          <w:rFonts w:cstheme="minorHAnsi"/>
          <w:sz w:val="20"/>
          <w:szCs w:val="20"/>
        </w:rPr>
        <w:t>F</w:t>
      </w:r>
      <w:r w:rsidR="009B317E">
        <w:rPr>
          <w:rFonts w:cstheme="minorHAnsi"/>
          <w:sz w:val="20"/>
          <w:szCs w:val="20"/>
        </w:rPr>
        <w:t>OX”</w:t>
      </w:r>
      <w:r w:rsidR="0017281F" w:rsidRPr="00E73FB7">
        <w:rPr>
          <w:rFonts w:cstheme="minorHAnsi"/>
          <w:sz w:val="20"/>
          <w:szCs w:val="20"/>
        </w:rPr>
        <w:t>)</w:t>
      </w:r>
      <w:r w:rsidRPr="00E73FB7">
        <w:rPr>
          <w:rFonts w:cstheme="minorHAnsi"/>
          <w:sz w:val="20"/>
          <w:szCs w:val="20"/>
        </w:rPr>
        <w:t xml:space="preserve"> </w:t>
      </w:r>
      <w:r w:rsidR="0017281F" w:rsidRPr="00E73FB7">
        <w:rPr>
          <w:rFonts w:cstheme="minorHAnsi"/>
          <w:sz w:val="20"/>
          <w:szCs w:val="20"/>
        </w:rPr>
        <w:t>is</w:t>
      </w:r>
      <w:r w:rsidRPr="00E73FB7">
        <w:rPr>
          <w:rFonts w:cstheme="minorHAnsi"/>
          <w:sz w:val="20"/>
          <w:szCs w:val="20"/>
        </w:rPr>
        <w:t xml:space="preserve"> committed to developing and maintaining an effective, timely, fair and equitable complaints and appeals handling system based on the principles of natural justice and procedural fairness.  </w:t>
      </w:r>
    </w:p>
    <w:p w14:paraId="1EBD1B2F" w14:textId="4F8FEEA3" w:rsidR="00047724" w:rsidRPr="00E01651" w:rsidRDefault="00047724" w:rsidP="007A3896">
      <w:pPr>
        <w:rPr>
          <w:rFonts w:cstheme="minorHAnsi"/>
          <w:i/>
          <w:iCs/>
          <w:color w:val="2F5496" w:themeColor="accent1" w:themeShade="BF"/>
          <w:sz w:val="17"/>
          <w:szCs w:val="17"/>
        </w:rPr>
      </w:pPr>
      <w:r w:rsidRPr="00E01651">
        <w:rPr>
          <w:rFonts w:cstheme="minorHAnsi"/>
          <w:i/>
          <w:iCs/>
          <w:color w:val="2F5496" w:themeColor="accent1" w:themeShade="BF"/>
          <w:sz w:val="17"/>
          <w:szCs w:val="17"/>
        </w:rPr>
        <w:t xml:space="preserve">Refer: </w:t>
      </w:r>
      <w:r w:rsidRPr="00E01651">
        <w:rPr>
          <w:rStyle w:val="ItalicText"/>
          <w:rFonts w:cstheme="minorHAnsi"/>
          <w:i w:val="0"/>
          <w:iCs/>
          <w:color w:val="2F5496" w:themeColor="accent1" w:themeShade="BF"/>
          <w:sz w:val="17"/>
          <w:szCs w:val="17"/>
        </w:rPr>
        <w:t>Standard 6</w:t>
      </w:r>
      <w:r w:rsidRPr="00E01651">
        <w:rPr>
          <w:rFonts w:cstheme="minorHAnsi"/>
          <w:i/>
          <w:iCs/>
          <w:color w:val="2F5496" w:themeColor="accent1" w:themeShade="BF"/>
          <w:sz w:val="17"/>
          <w:szCs w:val="17"/>
        </w:rPr>
        <w:t xml:space="preserve"> of the </w:t>
      </w:r>
      <w:r w:rsidRPr="00E01651">
        <w:rPr>
          <w:rStyle w:val="BoldText"/>
          <w:rFonts w:cstheme="minorHAnsi"/>
          <w:i/>
          <w:iCs/>
          <w:color w:val="2F5496" w:themeColor="accent1" w:themeShade="BF"/>
          <w:sz w:val="17"/>
          <w:szCs w:val="17"/>
        </w:rPr>
        <w:t>Standards for Registered Training Organisations (RTOs) 2015</w:t>
      </w:r>
      <w:r w:rsidRPr="00E01651">
        <w:rPr>
          <w:rFonts w:cstheme="minorHAnsi"/>
          <w:i/>
          <w:iCs/>
          <w:color w:val="2F5496" w:themeColor="accent1" w:themeShade="BF"/>
          <w:sz w:val="17"/>
          <w:szCs w:val="17"/>
        </w:rPr>
        <w:t xml:space="preserve">. Standard </w:t>
      </w:r>
      <w:r w:rsidR="0017281F" w:rsidRPr="00E01651">
        <w:rPr>
          <w:rFonts w:cstheme="minorHAnsi"/>
          <w:i/>
          <w:iCs/>
          <w:color w:val="2F5496" w:themeColor="accent1" w:themeShade="BF"/>
          <w:sz w:val="17"/>
          <w:szCs w:val="17"/>
        </w:rPr>
        <w:t>10</w:t>
      </w:r>
      <w:r w:rsidRPr="00E01651">
        <w:rPr>
          <w:rFonts w:cstheme="minorHAnsi"/>
          <w:i/>
          <w:iCs/>
          <w:color w:val="2F5496" w:themeColor="accent1" w:themeShade="BF"/>
          <w:sz w:val="17"/>
          <w:szCs w:val="17"/>
        </w:rPr>
        <w:t xml:space="preserve"> of the ESOS National Code</w:t>
      </w:r>
    </w:p>
    <w:p w14:paraId="2CCC9023" w14:textId="6FE3694B" w:rsidR="00C25EEC" w:rsidRPr="00E73FB7" w:rsidRDefault="00047724" w:rsidP="007A3896">
      <w:pPr>
        <w:rPr>
          <w:rFonts w:cstheme="minorHAnsi"/>
          <w:sz w:val="20"/>
          <w:szCs w:val="20"/>
        </w:rPr>
      </w:pPr>
      <w:r w:rsidRPr="00E73FB7">
        <w:rPr>
          <w:rFonts w:cstheme="minorHAnsi"/>
          <w:sz w:val="20"/>
          <w:szCs w:val="20"/>
        </w:rPr>
        <w:t xml:space="preserve">This policy and its associated documents are made available to our </w:t>
      </w:r>
      <w:r w:rsidR="00C25EEC" w:rsidRPr="00E73FB7">
        <w:rPr>
          <w:rFonts w:cstheme="minorHAnsi"/>
          <w:sz w:val="20"/>
          <w:szCs w:val="20"/>
        </w:rPr>
        <w:t>students</w:t>
      </w:r>
      <w:r w:rsidRPr="00E73FB7">
        <w:rPr>
          <w:rFonts w:cstheme="minorHAnsi"/>
          <w:sz w:val="20"/>
          <w:szCs w:val="20"/>
        </w:rPr>
        <w:t xml:space="preserve"> and staff through publication on our website at </w:t>
      </w:r>
      <w:hyperlink r:id="rId7" w:history="1">
        <w:r w:rsidR="00E01651" w:rsidRPr="009F411B">
          <w:rPr>
            <w:rStyle w:val="Hyperlink"/>
            <w:rFonts w:cstheme="minorHAnsi"/>
            <w:sz w:val="20"/>
            <w:szCs w:val="20"/>
          </w:rPr>
          <w:t>www.fox.edu.au</w:t>
        </w:r>
      </w:hyperlink>
      <w:r w:rsidR="00E01651">
        <w:rPr>
          <w:rFonts w:cstheme="minorHAnsi"/>
          <w:sz w:val="20"/>
          <w:szCs w:val="20"/>
        </w:rPr>
        <w:t>.</w:t>
      </w:r>
    </w:p>
    <w:p w14:paraId="57C895DE" w14:textId="3EC26CD3" w:rsidR="00047724" w:rsidRPr="00E73FB7" w:rsidRDefault="00047724" w:rsidP="00E01651">
      <w:pPr>
        <w:jc w:val="both"/>
        <w:rPr>
          <w:rFonts w:cstheme="minorHAnsi"/>
          <w:sz w:val="20"/>
          <w:szCs w:val="20"/>
        </w:rPr>
      </w:pPr>
      <w:r w:rsidRPr="00E73FB7">
        <w:rPr>
          <w:rFonts w:cstheme="minorHAnsi"/>
          <w:sz w:val="20"/>
          <w:szCs w:val="20"/>
        </w:rPr>
        <w:t>As part of continuous improvement, we identify potential causes of complaints and appeals and take appropriate corrective action to resolve the complaint as well as eliminate or mitigate the likelihood of reoccurrence.</w:t>
      </w:r>
    </w:p>
    <w:p w14:paraId="452A3D8A" w14:textId="741A2BED" w:rsidR="00047724" w:rsidRPr="009F54CC" w:rsidRDefault="00047724" w:rsidP="00E01651">
      <w:pPr>
        <w:jc w:val="both"/>
        <w:rPr>
          <w:rFonts w:cstheme="minorHAnsi"/>
          <w:sz w:val="20"/>
          <w:szCs w:val="20"/>
        </w:rPr>
      </w:pPr>
      <w:r w:rsidRPr="00E73FB7">
        <w:rPr>
          <w:rFonts w:cstheme="minorHAnsi"/>
          <w:sz w:val="20"/>
          <w:szCs w:val="20"/>
        </w:rPr>
        <w:t xml:space="preserve">For the purposes of communicating to our administration and education staff, this policy and the associated </w:t>
      </w:r>
      <w:hyperlink r:id="rId8" w:history="1">
        <w:r w:rsidRPr="006D36E2">
          <w:rPr>
            <w:rStyle w:val="Hyperlink"/>
            <w:rFonts w:cstheme="minorHAnsi"/>
            <w:sz w:val="20"/>
            <w:szCs w:val="20"/>
          </w:rPr>
          <w:t>Complaints and Appeals Handling Procedure</w:t>
        </w:r>
      </w:hyperlink>
      <w:r w:rsidRPr="009F54CC">
        <w:rPr>
          <w:rFonts w:cstheme="minorHAnsi"/>
          <w:sz w:val="20"/>
          <w:szCs w:val="20"/>
        </w:rPr>
        <w:t xml:space="preserve"> form part of our staff induction process.</w:t>
      </w:r>
    </w:p>
    <w:p w14:paraId="0087B373" w14:textId="167C9507" w:rsidR="00047724" w:rsidRPr="00E73FB7" w:rsidRDefault="00047724" w:rsidP="007A3896">
      <w:pPr>
        <w:rPr>
          <w:rFonts w:cstheme="minorHAnsi"/>
          <w:sz w:val="20"/>
          <w:szCs w:val="20"/>
        </w:rPr>
      </w:pPr>
      <w:r w:rsidRPr="00E73FB7">
        <w:rPr>
          <w:rFonts w:cstheme="minorHAnsi"/>
          <w:sz w:val="20"/>
          <w:szCs w:val="20"/>
        </w:rPr>
        <w:t>We aim to:</w:t>
      </w:r>
    </w:p>
    <w:p w14:paraId="70FBEDDC" w14:textId="77777777" w:rsidR="00047724" w:rsidRPr="00E73FB7" w:rsidRDefault="00047724" w:rsidP="00151EEB">
      <w:pPr>
        <w:pStyle w:val="ListBullet"/>
        <w:numPr>
          <w:ilvl w:val="0"/>
          <w:numId w:val="6"/>
        </w:numPr>
        <w:spacing w:before="0" w:after="0" w:line="240" w:lineRule="auto"/>
        <w:rPr>
          <w:rFonts w:cstheme="minorHAnsi"/>
          <w:sz w:val="20"/>
          <w:szCs w:val="20"/>
        </w:rPr>
      </w:pPr>
      <w:r w:rsidRPr="00E73FB7">
        <w:rPr>
          <w:rFonts w:cstheme="minorHAnsi"/>
          <w:sz w:val="20"/>
          <w:szCs w:val="20"/>
        </w:rPr>
        <w:t>work within a culture that views any complaint as an opportunity for improvement</w:t>
      </w:r>
    </w:p>
    <w:p w14:paraId="0BE0FBC6" w14:textId="6EB9AE66" w:rsidR="00047724" w:rsidRPr="00E73FB7" w:rsidRDefault="00047724" w:rsidP="00151EEB">
      <w:pPr>
        <w:pStyle w:val="ListBullet"/>
        <w:numPr>
          <w:ilvl w:val="0"/>
          <w:numId w:val="6"/>
        </w:numPr>
        <w:spacing w:before="0" w:after="0" w:line="240" w:lineRule="auto"/>
        <w:rPr>
          <w:rFonts w:cstheme="minorHAnsi"/>
          <w:sz w:val="20"/>
          <w:szCs w:val="20"/>
        </w:rPr>
      </w:pPr>
      <w:r w:rsidRPr="00E73FB7">
        <w:rPr>
          <w:rFonts w:cstheme="minorHAnsi"/>
          <w:sz w:val="20"/>
          <w:szCs w:val="20"/>
        </w:rPr>
        <w:t>set in place a complaints system that is client focu</w:t>
      </w:r>
      <w:r w:rsidR="009856EB">
        <w:rPr>
          <w:rFonts w:cstheme="minorHAnsi"/>
          <w:sz w:val="20"/>
          <w:szCs w:val="20"/>
        </w:rPr>
        <w:t>sed</w:t>
      </w:r>
      <w:r w:rsidRPr="00E73FB7">
        <w:rPr>
          <w:rFonts w:cstheme="minorHAnsi"/>
          <w:sz w:val="20"/>
          <w:szCs w:val="20"/>
        </w:rPr>
        <w:t xml:space="preserve">, enhances our internal and external customer experience and helps to prevent complaints from reoccurring </w:t>
      </w:r>
    </w:p>
    <w:p w14:paraId="51279AB1" w14:textId="77777777" w:rsidR="00047724" w:rsidRPr="00E73FB7" w:rsidRDefault="00047724" w:rsidP="00151EEB">
      <w:pPr>
        <w:pStyle w:val="ListBullet"/>
        <w:numPr>
          <w:ilvl w:val="0"/>
          <w:numId w:val="6"/>
        </w:numPr>
        <w:spacing w:before="0" w:after="0" w:line="240" w:lineRule="auto"/>
        <w:rPr>
          <w:rFonts w:cstheme="minorHAnsi"/>
          <w:sz w:val="20"/>
          <w:szCs w:val="20"/>
        </w:rPr>
      </w:pPr>
      <w:r w:rsidRPr="00E73FB7">
        <w:rPr>
          <w:rFonts w:cstheme="minorHAnsi"/>
          <w:sz w:val="20"/>
          <w:szCs w:val="20"/>
        </w:rPr>
        <w:t>ensure any complaint is resolved confidentially where appropriate, promptly, objectively and with sensitivity</w:t>
      </w:r>
    </w:p>
    <w:p w14:paraId="7766683E" w14:textId="77777777" w:rsidR="00047724" w:rsidRPr="00E73FB7" w:rsidRDefault="00047724" w:rsidP="00151EEB">
      <w:pPr>
        <w:pStyle w:val="ListBullet"/>
        <w:numPr>
          <w:ilvl w:val="0"/>
          <w:numId w:val="6"/>
        </w:numPr>
        <w:spacing w:before="0" w:after="0" w:line="240" w:lineRule="auto"/>
        <w:rPr>
          <w:rFonts w:cstheme="minorHAnsi"/>
          <w:sz w:val="20"/>
          <w:szCs w:val="20"/>
        </w:rPr>
      </w:pPr>
      <w:r w:rsidRPr="00E73FB7">
        <w:rPr>
          <w:rFonts w:cstheme="minorHAnsi"/>
          <w:sz w:val="20"/>
          <w:szCs w:val="20"/>
        </w:rPr>
        <w:t>ensure that the views of each complainant and respondent are respected and that any party to a complaint is not discriminated against nor victimised</w:t>
      </w:r>
    </w:p>
    <w:p w14:paraId="2EB9FA9A" w14:textId="77777777" w:rsidR="00047724" w:rsidRPr="00E73FB7" w:rsidRDefault="00047724" w:rsidP="00151EEB">
      <w:pPr>
        <w:pStyle w:val="ListBullet"/>
        <w:numPr>
          <w:ilvl w:val="0"/>
          <w:numId w:val="6"/>
        </w:numPr>
        <w:spacing w:before="0" w:after="0" w:line="240" w:lineRule="auto"/>
        <w:rPr>
          <w:rFonts w:cstheme="minorHAnsi"/>
          <w:sz w:val="20"/>
          <w:szCs w:val="20"/>
        </w:rPr>
      </w:pPr>
      <w:r w:rsidRPr="00E73FB7">
        <w:rPr>
          <w:rFonts w:cstheme="minorHAnsi"/>
          <w:sz w:val="20"/>
          <w:szCs w:val="20"/>
        </w:rPr>
        <w:t>ensure that any complaint is treated with a consistent approach allowing for relevant policies and procedures</w:t>
      </w:r>
    </w:p>
    <w:p w14:paraId="2FCFA4F6" w14:textId="77777777" w:rsidR="00047724" w:rsidRPr="00E73FB7" w:rsidRDefault="00047724" w:rsidP="00151EEB">
      <w:pPr>
        <w:pStyle w:val="ListBullet"/>
        <w:numPr>
          <w:ilvl w:val="0"/>
          <w:numId w:val="6"/>
        </w:numPr>
        <w:spacing w:before="0" w:after="0" w:line="240" w:lineRule="auto"/>
        <w:rPr>
          <w:rFonts w:cstheme="minorHAnsi"/>
          <w:sz w:val="20"/>
          <w:szCs w:val="20"/>
        </w:rPr>
      </w:pPr>
      <w:r w:rsidRPr="00E73FB7">
        <w:rPr>
          <w:rFonts w:cstheme="minorHAnsi"/>
          <w:sz w:val="20"/>
          <w:szCs w:val="20"/>
        </w:rPr>
        <w:t>securely maintain records of all complaints and appeals and their outcomes.</w:t>
      </w:r>
    </w:p>
    <w:p w14:paraId="4F9CE26E" w14:textId="77777777" w:rsidR="007A3896" w:rsidRPr="00E73FB7" w:rsidRDefault="007A3896" w:rsidP="007A3896">
      <w:pPr>
        <w:rPr>
          <w:rFonts w:cstheme="minorHAnsi"/>
          <w:sz w:val="20"/>
          <w:szCs w:val="20"/>
        </w:rPr>
      </w:pPr>
    </w:p>
    <w:p w14:paraId="4BF841FD" w14:textId="1E4B738E" w:rsidR="00047724" w:rsidRPr="00E73FB7" w:rsidRDefault="00047724" w:rsidP="000C1855">
      <w:pPr>
        <w:jc w:val="both"/>
        <w:rPr>
          <w:rFonts w:cstheme="minorHAnsi"/>
          <w:sz w:val="20"/>
          <w:szCs w:val="20"/>
        </w:rPr>
      </w:pPr>
      <w:r w:rsidRPr="00E73FB7">
        <w:rPr>
          <w:rFonts w:cstheme="minorHAnsi"/>
          <w:sz w:val="20"/>
          <w:szCs w:val="20"/>
        </w:rPr>
        <w:t xml:space="preserve">A </w:t>
      </w:r>
      <w:r w:rsidRPr="00D90FC6">
        <w:rPr>
          <w:rFonts w:cstheme="minorHAnsi"/>
          <w:i/>
          <w:iCs/>
          <w:sz w:val="20"/>
          <w:szCs w:val="20"/>
        </w:rPr>
        <w:t>complaint or appeal</w:t>
      </w:r>
      <w:r w:rsidRPr="00E73FB7">
        <w:rPr>
          <w:rFonts w:cstheme="minorHAnsi"/>
          <w:sz w:val="20"/>
          <w:szCs w:val="20"/>
        </w:rPr>
        <w:t xml:space="preserve"> can be defined as a person’s expression of dissatisfaction with any aspect of our services and activities, including both academic and non-academic matters, such as:</w:t>
      </w:r>
    </w:p>
    <w:p w14:paraId="0E0871D6" w14:textId="4AA57D37" w:rsidR="00047724" w:rsidRPr="00E73FB7" w:rsidRDefault="00047724" w:rsidP="00151EEB">
      <w:pPr>
        <w:pStyle w:val="ListBullet"/>
        <w:numPr>
          <w:ilvl w:val="0"/>
          <w:numId w:val="6"/>
        </w:numPr>
        <w:spacing w:before="0" w:after="0" w:line="240" w:lineRule="auto"/>
        <w:rPr>
          <w:rFonts w:cstheme="minorHAnsi"/>
          <w:sz w:val="20"/>
          <w:szCs w:val="20"/>
        </w:rPr>
      </w:pPr>
      <w:r w:rsidRPr="00E73FB7">
        <w:rPr>
          <w:rFonts w:cstheme="minorHAnsi"/>
          <w:sz w:val="20"/>
          <w:szCs w:val="20"/>
        </w:rPr>
        <w:t>the enrolment, induction/orientation process</w:t>
      </w:r>
    </w:p>
    <w:p w14:paraId="7503D9EF" w14:textId="77777777" w:rsidR="00047724" w:rsidRPr="00E73FB7" w:rsidRDefault="00047724" w:rsidP="00151EEB">
      <w:pPr>
        <w:pStyle w:val="ListBullet"/>
        <w:numPr>
          <w:ilvl w:val="0"/>
          <w:numId w:val="6"/>
        </w:numPr>
        <w:spacing w:before="0" w:after="0" w:line="240" w:lineRule="auto"/>
        <w:rPr>
          <w:rFonts w:cstheme="minorHAnsi"/>
          <w:sz w:val="20"/>
          <w:szCs w:val="20"/>
        </w:rPr>
      </w:pPr>
      <w:r w:rsidRPr="00E73FB7">
        <w:rPr>
          <w:rFonts w:cstheme="minorHAnsi"/>
          <w:sz w:val="20"/>
          <w:szCs w:val="20"/>
        </w:rPr>
        <w:t>the quality of education provided by us as an RTO or by third parties providing training and/or assessment services on our behalf</w:t>
      </w:r>
    </w:p>
    <w:p w14:paraId="2FCC92B2" w14:textId="77777777" w:rsidR="00047724" w:rsidRPr="00E73FB7" w:rsidRDefault="00047724" w:rsidP="00151EEB">
      <w:pPr>
        <w:pStyle w:val="ListBullet"/>
        <w:numPr>
          <w:ilvl w:val="0"/>
          <w:numId w:val="6"/>
        </w:numPr>
        <w:spacing w:before="0" w:after="0" w:line="240" w:lineRule="auto"/>
        <w:rPr>
          <w:rFonts w:cstheme="minorHAnsi"/>
          <w:sz w:val="20"/>
          <w:szCs w:val="20"/>
        </w:rPr>
      </w:pPr>
      <w:r w:rsidRPr="00E73FB7">
        <w:rPr>
          <w:rFonts w:cstheme="minorHAnsi"/>
          <w:sz w:val="20"/>
          <w:szCs w:val="20"/>
        </w:rPr>
        <w:t>academic issues, including course progression, assessment, curriculum and awards in a Vocational Education Training (VET) course of study</w:t>
      </w:r>
    </w:p>
    <w:p w14:paraId="56248DA8" w14:textId="77777777" w:rsidR="00047724" w:rsidRPr="00E73FB7" w:rsidRDefault="00047724" w:rsidP="00151EEB">
      <w:pPr>
        <w:pStyle w:val="ListBullet"/>
        <w:numPr>
          <w:ilvl w:val="0"/>
          <w:numId w:val="6"/>
        </w:numPr>
        <w:spacing w:before="0" w:after="0" w:line="240" w:lineRule="auto"/>
        <w:rPr>
          <w:rFonts w:cstheme="minorHAnsi"/>
          <w:sz w:val="20"/>
          <w:szCs w:val="20"/>
        </w:rPr>
      </w:pPr>
      <w:r w:rsidRPr="00E73FB7">
        <w:rPr>
          <w:rFonts w:cstheme="minorHAnsi"/>
          <w:sz w:val="20"/>
          <w:szCs w:val="20"/>
        </w:rPr>
        <w:t>secure handling of personal information and access to personal records</w:t>
      </w:r>
    </w:p>
    <w:p w14:paraId="535B3B73" w14:textId="77777777" w:rsidR="00047724" w:rsidRPr="00E73FB7" w:rsidRDefault="00047724" w:rsidP="00151EEB">
      <w:pPr>
        <w:pStyle w:val="ListBullet"/>
        <w:numPr>
          <w:ilvl w:val="0"/>
          <w:numId w:val="6"/>
        </w:numPr>
        <w:spacing w:before="0" w:after="0" w:line="240" w:lineRule="auto"/>
        <w:rPr>
          <w:rFonts w:cstheme="minorHAnsi"/>
          <w:sz w:val="20"/>
          <w:szCs w:val="20"/>
        </w:rPr>
      </w:pPr>
      <w:r w:rsidRPr="00E73FB7">
        <w:rPr>
          <w:rFonts w:cstheme="minorHAnsi"/>
          <w:sz w:val="20"/>
          <w:szCs w:val="20"/>
        </w:rPr>
        <w:t>the way someone has been treated or perceived to have been treated.</w:t>
      </w:r>
    </w:p>
    <w:p w14:paraId="1E642ED1" w14:textId="77777777" w:rsidR="00D90FC6" w:rsidRDefault="00D90FC6" w:rsidP="007A3896">
      <w:pPr>
        <w:rPr>
          <w:rFonts w:cstheme="minorHAnsi"/>
          <w:sz w:val="20"/>
          <w:szCs w:val="20"/>
        </w:rPr>
      </w:pPr>
    </w:p>
    <w:p w14:paraId="6E048750" w14:textId="75357205" w:rsidR="00047724" w:rsidRDefault="00047724" w:rsidP="00D90FC6">
      <w:pPr>
        <w:jc w:val="both"/>
        <w:rPr>
          <w:rFonts w:cstheme="minorHAnsi"/>
          <w:sz w:val="20"/>
          <w:szCs w:val="20"/>
        </w:rPr>
      </w:pPr>
      <w:r w:rsidRPr="00E73FB7">
        <w:rPr>
          <w:rFonts w:cstheme="minorHAnsi"/>
          <w:sz w:val="20"/>
          <w:szCs w:val="20"/>
        </w:rPr>
        <w:t xml:space="preserve">This policy and its associated procedure are designed to ensure that we acknowledge and respond effectively to individual cases of dissatisfaction.  Where we consider </w:t>
      </w:r>
      <w:r w:rsidRPr="00D90FC6">
        <w:rPr>
          <w:rFonts w:cstheme="minorHAnsi"/>
          <w:i/>
          <w:iCs/>
          <w:sz w:val="20"/>
          <w:szCs w:val="20"/>
        </w:rPr>
        <w:t>more than 60 calendar days</w:t>
      </w:r>
      <w:r w:rsidRPr="00E73FB7">
        <w:rPr>
          <w:rFonts w:cstheme="minorHAnsi"/>
          <w:sz w:val="20"/>
          <w:szCs w:val="20"/>
        </w:rPr>
        <w:t xml:space="preserve"> are required to process and finalise a complaint or appeal, we will inform the complainant or appellant in writing, including reasons why more than 60 calendar days are required and will update the complainant or appellant in writing on the progress of the matter.</w:t>
      </w:r>
    </w:p>
    <w:p w14:paraId="7AE56698" w14:textId="77777777" w:rsidR="00151EEB" w:rsidRDefault="00151EEB" w:rsidP="00D90FC6">
      <w:pPr>
        <w:jc w:val="both"/>
        <w:rPr>
          <w:rFonts w:cstheme="minorHAnsi"/>
          <w:sz w:val="20"/>
          <w:szCs w:val="20"/>
        </w:rPr>
      </w:pPr>
    </w:p>
    <w:p w14:paraId="7B43C47F" w14:textId="77777777" w:rsidR="00151EEB" w:rsidRPr="00E73FB7" w:rsidRDefault="00151EEB" w:rsidP="00D90FC6">
      <w:pPr>
        <w:jc w:val="both"/>
        <w:rPr>
          <w:rFonts w:cstheme="minorHAnsi"/>
          <w:sz w:val="20"/>
          <w:szCs w:val="20"/>
        </w:rPr>
      </w:pPr>
    </w:p>
    <w:p w14:paraId="3EC7EE6A" w14:textId="653B1184" w:rsidR="00047724" w:rsidRPr="009F54CC" w:rsidRDefault="00047724" w:rsidP="007A3896">
      <w:pPr>
        <w:pStyle w:val="Heading1"/>
        <w:spacing w:before="0" w:after="0" w:line="240" w:lineRule="auto"/>
        <w:rPr>
          <w:rFonts w:asciiTheme="minorHAnsi" w:hAnsiTheme="minorHAnsi" w:cstheme="minorHAnsi"/>
          <w:b w:val="0"/>
          <w:color w:val="1F3864" w:themeColor="accent1" w:themeShade="80"/>
          <w:sz w:val="20"/>
          <w:szCs w:val="20"/>
        </w:rPr>
      </w:pPr>
      <w:r w:rsidRPr="009F54CC">
        <w:rPr>
          <w:rFonts w:asciiTheme="minorHAnsi" w:hAnsiTheme="minorHAnsi" w:cstheme="minorHAnsi"/>
          <w:b w:val="0"/>
          <w:color w:val="1F3864" w:themeColor="accent1" w:themeShade="80"/>
          <w:sz w:val="20"/>
          <w:szCs w:val="20"/>
        </w:rPr>
        <w:lastRenderedPageBreak/>
        <w:t>Policy Coverage</w:t>
      </w:r>
    </w:p>
    <w:p w14:paraId="17123725" w14:textId="5C6E48B9" w:rsidR="00047724" w:rsidRPr="00E73FB7" w:rsidRDefault="00047724" w:rsidP="007A3896">
      <w:pPr>
        <w:rPr>
          <w:rFonts w:cstheme="minorHAnsi"/>
          <w:sz w:val="20"/>
          <w:szCs w:val="20"/>
        </w:rPr>
      </w:pPr>
      <w:r w:rsidRPr="00E73FB7">
        <w:rPr>
          <w:rFonts w:cstheme="minorHAnsi"/>
          <w:sz w:val="20"/>
          <w:szCs w:val="20"/>
        </w:rPr>
        <w:t>This policy is designed to cover all complainants including:</w:t>
      </w:r>
    </w:p>
    <w:p w14:paraId="30DA49BA" w14:textId="4062DC52" w:rsidR="00047724" w:rsidRPr="00E73FB7" w:rsidRDefault="00C25EEC" w:rsidP="00151EEB">
      <w:pPr>
        <w:pStyle w:val="ListBullet"/>
        <w:numPr>
          <w:ilvl w:val="0"/>
          <w:numId w:val="6"/>
        </w:numPr>
        <w:spacing w:before="0" w:after="0" w:line="240" w:lineRule="auto"/>
        <w:rPr>
          <w:rFonts w:cstheme="minorHAnsi"/>
          <w:sz w:val="20"/>
          <w:szCs w:val="20"/>
        </w:rPr>
      </w:pPr>
      <w:r w:rsidRPr="00E73FB7">
        <w:rPr>
          <w:rFonts w:cstheme="minorHAnsi"/>
          <w:sz w:val="20"/>
          <w:szCs w:val="20"/>
        </w:rPr>
        <w:t>students</w:t>
      </w:r>
      <w:r w:rsidR="00047724" w:rsidRPr="00E73FB7">
        <w:rPr>
          <w:rFonts w:cstheme="minorHAnsi"/>
          <w:sz w:val="20"/>
          <w:szCs w:val="20"/>
        </w:rPr>
        <w:t xml:space="preserve"> who are eligible for and access State/Territory or Commonwealth funding </w:t>
      </w:r>
    </w:p>
    <w:p w14:paraId="414B42C1" w14:textId="2BAB13C0" w:rsidR="00047724" w:rsidRPr="00E73FB7" w:rsidRDefault="00047724" w:rsidP="00151EEB">
      <w:pPr>
        <w:pStyle w:val="ListBullet"/>
        <w:numPr>
          <w:ilvl w:val="0"/>
          <w:numId w:val="6"/>
        </w:numPr>
        <w:spacing w:before="0" w:after="0" w:line="240" w:lineRule="auto"/>
        <w:rPr>
          <w:rFonts w:cstheme="minorHAnsi"/>
          <w:sz w:val="20"/>
          <w:szCs w:val="20"/>
        </w:rPr>
      </w:pPr>
      <w:r w:rsidRPr="00E73FB7">
        <w:rPr>
          <w:rFonts w:cstheme="minorHAnsi"/>
          <w:sz w:val="20"/>
          <w:szCs w:val="20"/>
        </w:rPr>
        <w:t xml:space="preserve">full fee paying </w:t>
      </w:r>
      <w:r w:rsidR="00C25EEC" w:rsidRPr="00E73FB7">
        <w:rPr>
          <w:rFonts w:cstheme="minorHAnsi"/>
          <w:sz w:val="20"/>
          <w:szCs w:val="20"/>
        </w:rPr>
        <w:t>students</w:t>
      </w:r>
    </w:p>
    <w:p w14:paraId="7F4CCC50" w14:textId="77777777" w:rsidR="00047724" w:rsidRDefault="00047724" w:rsidP="00151EEB">
      <w:pPr>
        <w:pStyle w:val="ListBullet"/>
        <w:numPr>
          <w:ilvl w:val="0"/>
          <w:numId w:val="6"/>
        </w:numPr>
        <w:spacing w:before="0" w:after="0" w:line="240" w:lineRule="auto"/>
        <w:rPr>
          <w:rFonts w:cstheme="minorHAnsi"/>
          <w:sz w:val="20"/>
          <w:szCs w:val="20"/>
        </w:rPr>
      </w:pPr>
      <w:r w:rsidRPr="00E73FB7">
        <w:rPr>
          <w:rFonts w:cstheme="minorHAnsi"/>
          <w:sz w:val="20"/>
          <w:szCs w:val="20"/>
        </w:rPr>
        <w:t>International Students</w:t>
      </w:r>
    </w:p>
    <w:p w14:paraId="432343EF" w14:textId="77777777" w:rsidR="00151EEB" w:rsidRPr="00E73FB7" w:rsidRDefault="00151EEB" w:rsidP="00151EEB">
      <w:pPr>
        <w:pStyle w:val="ListBullet"/>
        <w:numPr>
          <w:ilvl w:val="0"/>
          <w:numId w:val="0"/>
        </w:numPr>
        <w:spacing w:before="0" w:after="0" w:line="240" w:lineRule="auto"/>
        <w:ind w:left="360"/>
        <w:rPr>
          <w:rFonts w:cstheme="minorHAnsi"/>
          <w:sz w:val="20"/>
          <w:szCs w:val="20"/>
        </w:rPr>
      </w:pPr>
    </w:p>
    <w:tbl>
      <w:tblPr>
        <w:tblStyle w:val="xTrainingQC"/>
        <w:tblpPr w:leftFromText="181" w:rightFromText="181" w:vertAnchor="page" w:horzAnchor="margin" w:tblpY="11245"/>
        <w:tblW w:w="9619" w:type="dxa"/>
        <w:jc w:val="left"/>
        <w:tblLayout w:type="fixed"/>
        <w:tblLook w:val="0600" w:firstRow="0" w:lastRow="0" w:firstColumn="0" w:lastColumn="0" w:noHBand="1" w:noVBand="1"/>
      </w:tblPr>
      <w:tblGrid>
        <w:gridCol w:w="9619"/>
      </w:tblGrid>
      <w:tr w:rsidR="0026569D" w:rsidRPr="00CD4A12" w14:paraId="5262E33B" w14:textId="77777777" w:rsidTr="0026569D">
        <w:trPr>
          <w:trHeight w:val="80"/>
          <w:jc w:val="left"/>
        </w:trPr>
        <w:tc>
          <w:tcPr>
            <w:tcW w:w="9619" w:type="dxa"/>
            <w:tcBorders>
              <w:bottom w:val="nil"/>
            </w:tcBorders>
          </w:tcPr>
          <w:p w14:paraId="05E58D1A" w14:textId="77777777" w:rsidR="0026569D" w:rsidRPr="00151EEB" w:rsidRDefault="0026569D" w:rsidP="0026569D">
            <w:pPr>
              <w:pStyle w:val="QCNormal"/>
              <w:framePr w:vSpace="0" w:wrap="auto" w:hAnchor="text" w:xAlign="left" w:yAlign="inline"/>
              <w:rPr>
                <w:rFonts w:asciiTheme="minorHAnsi" w:hAnsiTheme="minorHAnsi" w:cstheme="minorHAnsi"/>
                <w:color w:val="595959" w:themeColor="text1" w:themeTint="A6"/>
                <w:sz w:val="20"/>
                <w:szCs w:val="20"/>
              </w:rPr>
            </w:pPr>
            <w:r w:rsidRPr="00151EEB">
              <w:rPr>
                <w:rFonts w:asciiTheme="minorHAnsi" w:hAnsiTheme="minorHAnsi" w:cstheme="minorHAnsi"/>
                <w:color w:val="595959" w:themeColor="text1" w:themeTint="A6"/>
                <w:sz w:val="20"/>
                <w:szCs w:val="20"/>
              </w:rPr>
              <w:t>This Policy should be read in conjunction with the following:</w:t>
            </w:r>
          </w:p>
        </w:tc>
      </w:tr>
      <w:tr w:rsidR="0026569D" w:rsidRPr="00CD4A12" w14:paraId="17FB22E0" w14:textId="77777777" w:rsidTr="0026569D">
        <w:trPr>
          <w:trHeight w:val="190"/>
          <w:jc w:val="left"/>
        </w:trPr>
        <w:tc>
          <w:tcPr>
            <w:tcW w:w="9619" w:type="dxa"/>
            <w:tcBorders>
              <w:top w:val="nil"/>
              <w:bottom w:val="nil"/>
            </w:tcBorders>
          </w:tcPr>
          <w:p w14:paraId="36B41E88" w14:textId="77777777" w:rsidR="0026569D" w:rsidRDefault="0026569D" w:rsidP="0026569D">
            <w:pPr>
              <w:pStyle w:val="QCBullet"/>
              <w:framePr w:vSpace="0" w:wrap="auto" w:hAnchor="text" w:xAlign="left" w:yAlign="inline"/>
              <w:spacing w:after="0"/>
              <w:ind w:left="284" w:hanging="284"/>
              <w:rPr>
                <w:rFonts w:asciiTheme="minorHAnsi" w:hAnsiTheme="minorHAnsi" w:cstheme="minorHAnsi"/>
                <w:color w:val="595959" w:themeColor="text1" w:themeTint="A6"/>
                <w:sz w:val="20"/>
                <w:szCs w:val="20"/>
              </w:rPr>
            </w:pPr>
            <w:r w:rsidRPr="00151EEB">
              <w:rPr>
                <w:rFonts w:asciiTheme="minorHAnsi" w:hAnsiTheme="minorHAnsi" w:cstheme="minorHAnsi"/>
                <w:color w:val="595959" w:themeColor="text1" w:themeTint="A6"/>
                <w:sz w:val="20"/>
                <w:szCs w:val="20"/>
              </w:rPr>
              <w:t>Standards for Registered Training Organisations (RTOs) 2015 (Standard 6)</w:t>
            </w:r>
          </w:p>
          <w:p w14:paraId="370427EA" w14:textId="77777777" w:rsidR="0026569D" w:rsidRPr="0026569D" w:rsidRDefault="0026569D" w:rsidP="0026569D">
            <w:pPr>
              <w:pStyle w:val="QCBullet"/>
              <w:framePr w:vSpace="0" w:wrap="auto" w:hAnchor="text" w:xAlign="left" w:yAlign="inline"/>
              <w:numPr>
                <w:ilvl w:val="0"/>
                <w:numId w:val="0"/>
              </w:numPr>
              <w:spacing w:after="0"/>
              <w:ind w:left="284"/>
              <w:rPr>
                <w:rFonts w:asciiTheme="minorHAnsi" w:hAnsiTheme="minorHAnsi" w:cstheme="minorHAnsi"/>
                <w:i/>
                <w:iCs/>
                <w:color w:val="595959" w:themeColor="text1" w:themeTint="A6"/>
                <w:sz w:val="20"/>
                <w:szCs w:val="20"/>
              </w:rPr>
            </w:pPr>
            <w:r w:rsidRPr="0026569D">
              <w:rPr>
                <w:rFonts w:asciiTheme="minorHAnsi" w:hAnsiTheme="minorHAnsi" w:cstheme="minorHAnsi"/>
                <w:i/>
                <w:iCs/>
                <w:color w:val="F36657"/>
                <w:szCs w:val="18"/>
              </w:rPr>
              <w:t>In transition to the Revised Standards for RTO 2025</w:t>
            </w:r>
            <w:r w:rsidRPr="0026569D">
              <w:rPr>
                <w:rFonts w:asciiTheme="minorHAnsi" w:hAnsiTheme="minorHAnsi" w:cstheme="minorHAnsi"/>
                <w:color w:val="595959" w:themeColor="text1" w:themeTint="A6"/>
                <w:sz w:val="20"/>
                <w:szCs w:val="20"/>
              </w:rPr>
              <w:t>: National Vocational Education and Training Regulator (Outcome Standards for NVR Registered Training Organisations) Instrument 2025</w:t>
            </w:r>
            <w:r>
              <w:rPr>
                <w:rFonts w:asciiTheme="minorHAnsi" w:hAnsiTheme="minorHAnsi" w:cstheme="minorHAnsi"/>
                <w:color w:val="595959" w:themeColor="text1" w:themeTint="A6"/>
                <w:sz w:val="20"/>
                <w:szCs w:val="20"/>
              </w:rPr>
              <w:t xml:space="preserve"> – Quality Area 2, </w:t>
            </w:r>
            <w:r w:rsidRPr="0026569D">
              <w:rPr>
                <w:rFonts w:asciiTheme="minorHAnsi" w:hAnsiTheme="minorHAnsi" w:cstheme="minorHAnsi"/>
                <w:color w:val="595959" w:themeColor="text1" w:themeTint="A6"/>
                <w:sz w:val="20"/>
                <w:szCs w:val="20"/>
              </w:rPr>
              <w:t>VET student support</w:t>
            </w:r>
            <w:r>
              <w:rPr>
                <w:rFonts w:asciiTheme="minorHAnsi" w:hAnsiTheme="minorHAnsi" w:cstheme="minorHAnsi"/>
                <w:color w:val="595959" w:themeColor="text1" w:themeTint="A6"/>
                <w:sz w:val="20"/>
                <w:szCs w:val="20"/>
              </w:rPr>
              <w:t>, Division 5, Standard 2.7</w:t>
            </w:r>
          </w:p>
          <w:p w14:paraId="357C140D" w14:textId="77777777" w:rsidR="0026569D" w:rsidRPr="00151EEB" w:rsidRDefault="0026569D" w:rsidP="0026569D">
            <w:pPr>
              <w:pStyle w:val="QCBullet"/>
              <w:framePr w:vSpace="0" w:wrap="auto" w:hAnchor="text" w:xAlign="left" w:yAlign="inline"/>
              <w:spacing w:after="0"/>
              <w:ind w:left="284" w:hanging="284"/>
              <w:rPr>
                <w:rFonts w:asciiTheme="minorHAnsi" w:hAnsiTheme="minorHAnsi" w:cstheme="minorHAnsi"/>
                <w:bCs/>
                <w:color w:val="595959" w:themeColor="text1" w:themeTint="A6"/>
                <w:sz w:val="20"/>
                <w:szCs w:val="20"/>
                <w:lang w:val="en-US"/>
              </w:rPr>
            </w:pPr>
            <w:r w:rsidRPr="00151EEB">
              <w:rPr>
                <w:rFonts w:asciiTheme="minorHAnsi" w:hAnsiTheme="minorHAnsi" w:cstheme="minorHAnsi"/>
                <w:bCs/>
                <w:color w:val="595959" w:themeColor="text1" w:themeTint="A6"/>
                <w:sz w:val="20"/>
                <w:szCs w:val="20"/>
                <w:lang w:val="en-US"/>
              </w:rPr>
              <w:t xml:space="preserve">National Code of Practice for Providers of Education and Training to Overseas Students 2018 </w:t>
            </w:r>
            <w:r w:rsidRPr="00151EEB">
              <w:rPr>
                <w:rFonts w:asciiTheme="minorHAnsi" w:hAnsiTheme="minorHAnsi" w:cstheme="minorHAnsi"/>
                <w:color w:val="595959" w:themeColor="text1" w:themeTint="A6"/>
                <w:sz w:val="20"/>
                <w:szCs w:val="20"/>
              </w:rPr>
              <w:t>Standard 10</w:t>
            </w:r>
          </w:p>
          <w:p w14:paraId="7419FA9B" w14:textId="77777777" w:rsidR="0026569D" w:rsidRPr="00151EEB" w:rsidRDefault="0026569D" w:rsidP="0026569D">
            <w:pPr>
              <w:pStyle w:val="QCBullet"/>
              <w:framePr w:vSpace="0" w:wrap="auto" w:hAnchor="text" w:xAlign="left" w:yAlign="inline"/>
              <w:spacing w:after="0"/>
              <w:ind w:left="284" w:hanging="284"/>
              <w:rPr>
                <w:rFonts w:asciiTheme="minorHAnsi" w:hAnsiTheme="minorHAnsi" w:cstheme="minorHAnsi"/>
                <w:color w:val="595959" w:themeColor="text1" w:themeTint="A6"/>
                <w:sz w:val="20"/>
                <w:szCs w:val="20"/>
              </w:rPr>
            </w:pPr>
            <w:r w:rsidRPr="00151EEB">
              <w:rPr>
                <w:rFonts w:asciiTheme="minorHAnsi" w:hAnsiTheme="minorHAnsi" w:cstheme="minorHAnsi"/>
                <w:color w:val="595959" w:themeColor="text1" w:themeTint="A6"/>
                <w:sz w:val="20"/>
                <w:szCs w:val="20"/>
              </w:rPr>
              <w:t>Privacy and Personal Information Policy</w:t>
            </w:r>
          </w:p>
          <w:p w14:paraId="23AFFBE1" w14:textId="77777777" w:rsidR="0026569D" w:rsidRPr="00151EEB" w:rsidRDefault="0026569D" w:rsidP="0026569D">
            <w:pPr>
              <w:pStyle w:val="QCBullet"/>
              <w:framePr w:vSpace="0" w:wrap="auto" w:hAnchor="text" w:xAlign="left" w:yAlign="inline"/>
              <w:spacing w:after="0"/>
              <w:ind w:left="284" w:hanging="284"/>
              <w:rPr>
                <w:rFonts w:asciiTheme="minorHAnsi" w:hAnsiTheme="minorHAnsi" w:cstheme="minorHAnsi"/>
                <w:color w:val="595959" w:themeColor="text1" w:themeTint="A6"/>
                <w:sz w:val="20"/>
                <w:szCs w:val="20"/>
              </w:rPr>
            </w:pPr>
            <w:r w:rsidRPr="00151EEB">
              <w:rPr>
                <w:rFonts w:asciiTheme="minorHAnsi" w:hAnsiTheme="minorHAnsi" w:cstheme="minorHAnsi"/>
                <w:color w:val="595959" w:themeColor="text1" w:themeTint="A6"/>
                <w:sz w:val="20"/>
                <w:szCs w:val="20"/>
              </w:rPr>
              <w:t>Continuous Improvement Policy</w:t>
            </w:r>
          </w:p>
          <w:p w14:paraId="315EAC0C" w14:textId="77777777" w:rsidR="0026569D" w:rsidRPr="00151EEB" w:rsidRDefault="0026569D" w:rsidP="0026569D">
            <w:pPr>
              <w:pStyle w:val="QCBullet"/>
              <w:framePr w:vSpace="0" w:wrap="auto" w:hAnchor="text" w:xAlign="left" w:yAlign="inline"/>
              <w:numPr>
                <w:ilvl w:val="0"/>
                <w:numId w:val="0"/>
              </w:numPr>
              <w:rPr>
                <w:rFonts w:asciiTheme="minorHAnsi" w:hAnsiTheme="minorHAnsi" w:cstheme="minorHAnsi"/>
                <w:color w:val="595959" w:themeColor="text1" w:themeTint="A6"/>
                <w:sz w:val="20"/>
                <w:szCs w:val="20"/>
              </w:rPr>
            </w:pPr>
          </w:p>
        </w:tc>
      </w:tr>
      <w:tr w:rsidR="0026569D" w:rsidRPr="00CD4A12" w14:paraId="75C8C6EE" w14:textId="77777777" w:rsidTr="0026569D">
        <w:trPr>
          <w:trHeight w:val="165"/>
          <w:jc w:val="left"/>
        </w:trPr>
        <w:tc>
          <w:tcPr>
            <w:tcW w:w="9619" w:type="dxa"/>
            <w:tcBorders>
              <w:top w:val="nil"/>
              <w:bottom w:val="nil"/>
            </w:tcBorders>
          </w:tcPr>
          <w:p w14:paraId="1875AF0A" w14:textId="77777777" w:rsidR="0026569D" w:rsidRPr="00151EEB" w:rsidRDefault="0026569D" w:rsidP="0026569D">
            <w:pPr>
              <w:pStyle w:val="QCNormal"/>
              <w:framePr w:vSpace="0" w:wrap="auto" w:hAnchor="text" w:xAlign="left" w:yAlign="inline"/>
              <w:rPr>
                <w:rFonts w:asciiTheme="minorHAnsi" w:hAnsiTheme="minorHAnsi" w:cstheme="minorHAnsi"/>
                <w:color w:val="595959" w:themeColor="text1" w:themeTint="A6"/>
                <w:sz w:val="20"/>
                <w:szCs w:val="20"/>
              </w:rPr>
            </w:pPr>
            <w:r w:rsidRPr="00151EEB">
              <w:rPr>
                <w:rFonts w:asciiTheme="minorHAnsi" w:hAnsiTheme="minorHAnsi" w:cstheme="minorHAnsi"/>
                <w:color w:val="595959" w:themeColor="text1" w:themeTint="A6"/>
                <w:sz w:val="20"/>
                <w:szCs w:val="20"/>
              </w:rPr>
              <w:t>This Policy is directly supported by the following Procedure(s):</w:t>
            </w:r>
          </w:p>
        </w:tc>
      </w:tr>
      <w:tr w:rsidR="0026569D" w:rsidRPr="00CD4A12" w14:paraId="22A551BC" w14:textId="77777777" w:rsidTr="0026569D">
        <w:trPr>
          <w:trHeight w:val="190"/>
          <w:jc w:val="left"/>
        </w:trPr>
        <w:tc>
          <w:tcPr>
            <w:tcW w:w="9619" w:type="dxa"/>
            <w:tcBorders>
              <w:top w:val="nil"/>
              <w:bottom w:val="single" w:sz="4" w:space="0" w:color="D5DCE4" w:themeColor="text2" w:themeTint="33"/>
            </w:tcBorders>
          </w:tcPr>
          <w:p w14:paraId="3284906C" w14:textId="77777777" w:rsidR="0026569D" w:rsidRPr="00151EEB" w:rsidRDefault="0026569D" w:rsidP="0026569D">
            <w:pPr>
              <w:pStyle w:val="QCBullet"/>
              <w:framePr w:vSpace="0" w:wrap="auto" w:hAnchor="text" w:xAlign="left" w:yAlign="inline"/>
              <w:ind w:left="284" w:hanging="284"/>
              <w:rPr>
                <w:rFonts w:asciiTheme="minorHAnsi" w:hAnsiTheme="minorHAnsi" w:cstheme="minorHAnsi"/>
                <w:color w:val="595959" w:themeColor="text1" w:themeTint="A6"/>
                <w:sz w:val="20"/>
                <w:szCs w:val="20"/>
              </w:rPr>
            </w:pPr>
            <w:r w:rsidRPr="00151EEB">
              <w:rPr>
                <w:rFonts w:asciiTheme="minorHAnsi" w:hAnsiTheme="minorHAnsi" w:cstheme="minorHAnsi"/>
                <w:color w:val="595959" w:themeColor="text1" w:themeTint="A6"/>
                <w:sz w:val="20"/>
                <w:szCs w:val="20"/>
              </w:rPr>
              <w:t>Complaints and Appeals Handling Procedure</w:t>
            </w:r>
          </w:p>
        </w:tc>
      </w:tr>
    </w:tbl>
    <w:p w14:paraId="0EF22CB2" w14:textId="0A25466B" w:rsidR="00047724" w:rsidRPr="00E73FB7" w:rsidRDefault="00047724" w:rsidP="000C1855">
      <w:pPr>
        <w:jc w:val="both"/>
        <w:rPr>
          <w:rFonts w:cstheme="minorHAnsi"/>
          <w:sz w:val="20"/>
          <w:szCs w:val="20"/>
        </w:rPr>
      </w:pPr>
      <w:r w:rsidRPr="00E73FB7">
        <w:rPr>
          <w:rFonts w:cstheme="minorHAnsi"/>
          <w:sz w:val="20"/>
          <w:szCs w:val="20"/>
        </w:rPr>
        <w:t xml:space="preserve">In relation to non-academic complaints, the term “complainant” applies to both current and prospective </w:t>
      </w:r>
      <w:r w:rsidR="00CD4A12">
        <w:rPr>
          <w:rFonts w:cstheme="minorHAnsi"/>
          <w:sz w:val="20"/>
          <w:szCs w:val="20"/>
        </w:rPr>
        <w:t>s</w:t>
      </w:r>
      <w:r w:rsidR="00C25EEC" w:rsidRPr="00E73FB7">
        <w:rPr>
          <w:rFonts w:cstheme="minorHAnsi"/>
          <w:sz w:val="20"/>
          <w:szCs w:val="20"/>
        </w:rPr>
        <w:t>tudents</w:t>
      </w:r>
      <w:r w:rsidRPr="00E73FB7">
        <w:rPr>
          <w:rFonts w:cstheme="minorHAnsi"/>
          <w:sz w:val="20"/>
          <w:szCs w:val="20"/>
        </w:rPr>
        <w:t>.</w:t>
      </w:r>
      <w:r w:rsidR="00151EEB">
        <w:rPr>
          <w:rFonts w:cstheme="minorHAnsi"/>
          <w:sz w:val="20"/>
          <w:szCs w:val="20"/>
        </w:rPr>
        <w:t xml:space="preserve"> </w:t>
      </w:r>
      <w:r w:rsidRPr="00E73FB7">
        <w:rPr>
          <w:rFonts w:cstheme="minorHAnsi"/>
          <w:sz w:val="20"/>
          <w:szCs w:val="20"/>
        </w:rPr>
        <w:t xml:space="preserve">Complainants can also access the </w:t>
      </w:r>
      <w:hyperlink r:id="rId9" w:history="1">
        <w:r w:rsidRPr="00A6396F">
          <w:rPr>
            <w:rStyle w:val="Hyperlink"/>
            <w:rFonts w:cstheme="minorHAnsi"/>
            <w:sz w:val="20"/>
            <w:szCs w:val="20"/>
          </w:rPr>
          <w:t>Complaints and Appeals Handling Procedure</w:t>
        </w:r>
      </w:hyperlink>
      <w:r w:rsidRPr="009F54CC">
        <w:rPr>
          <w:rFonts w:cstheme="minorHAnsi"/>
          <w:sz w:val="20"/>
          <w:szCs w:val="20"/>
        </w:rPr>
        <w:t xml:space="preserve"> </w:t>
      </w:r>
      <w:r w:rsidRPr="00E73FB7">
        <w:rPr>
          <w:rFonts w:cstheme="minorHAnsi"/>
          <w:sz w:val="20"/>
          <w:szCs w:val="20"/>
        </w:rPr>
        <w:t xml:space="preserve">which is available on our website </w:t>
      </w:r>
      <w:hyperlink r:id="rId10" w:history="1">
        <w:r w:rsidR="000C1855" w:rsidRPr="009F411B">
          <w:rPr>
            <w:rStyle w:val="Hyperlink"/>
            <w:rFonts w:cstheme="minorHAnsi"/>
            <w:sz w:val="20"/>
            <w:szCs w:val="20"/>
          </w:rPr>
          <w:t>www.fox.edu.au</w:t>
        </w:r>
      </w:hyperlink>
      <w:r w:rsidR="000C1855">
        <w:rPr>
          <w:rFonts w:cstheme="minorHAnsi"/>
          <w:sz w:val="20"/>
          <w:szCs w:val="20"/>
        </w:rPr>
        <w:t xml:space="preserve"> </w:t>
      </w:r>
      <w:r w:rsidR="00A6396F">
        <w:rPr>
          <w:rFonts w:cstheme="minorHAnsi"/>
          <w:sz w:val="20"/>
          <w:szCs w:val="20"/>
        </w:rPr>
        <w:t>.</w:t>
      </w:r>
      <w:r w:rsidRPr="00E73FB7">
        <w:rPr>
          <w:rFonts w:cstheme="minorHAnsi"/>
          <w:sz w:val="20"/>
          <w:szCs w:val="20"/>
        </w:rPr>
        <w:t xml:space="preserve"> </w:t>
      </w:r>
    </w:p>
    <w:p w14:paraId="7BA96AAC" w14:textId="77777777" w:rsidR="00047724" w:rsidRDefault="00047724" w:rsidP="007A3896">
      <w:pPr>
        <w:pStyle w:val="Heading1"/>
        <w:spacing w:before="0" w:after="0" w:line="240" w:lineRule="auto"/>
        <w:rPr>
          <w:rFonts w:asciiTheme="minorHAnsi" w:hAnsiTheme="minorHAnsi" w:cstheme="minorHAnsi"/>
          <w:b w:val="0"/>
          <w:bCs/>
          <w:color w:val="1F3864" w:themeColor="accent1" w:themeShade="80"/>
          <w:sz w:val="20"/>
          <w:szCs w:val="20"/>
        </w:rPr>
      </w:pPr>
      <w:r w:rsidRPr="009F54CC">
        <w:rPr>
          <w:rFonts w:asciiTheme="minorHAnsi" w:hAnsiTheme="minorHAnsi" w:cstheme="minorHAnsi"/>
          <w:b w:val="0"/>
          <w:bCs/>
          <w:color w:val="1F3864" w:themeColor="accent1" w:themeShade="80"/>
          <w:sz w:val="20"/>
          <w:szCs w:val="20"/>
        </w:rPr>
        <w:t>Before an Issue Becomes a Formal Complaint or Appeal</w:t>
      </w:r>
    </w:p>
    <w:p w14:paraId="2D6E552A" w14:textId="35090546" w:rsidR="00047724" w:rsidRPr="00E73FB7" w:rsidRDefault="00047724" w:rsidP="000C1855">
      <w:pPr>
        <w:jc w:val="both"/>
        <w:rPr>
          <w:rFonts w:cstheme="minorHAnsi"/>
          <w:sz w:val="20"/>
          <w:szCs w:val="20"/>
        </w:rPr>
      </w:pPr>
      <w:r w:rsidRPr="00E73FB7">
        <w:rPr>
          <w:rFonts w:cstheme="minorHAnsi"/>
          <w:sz w:val="20"/>
          <w:szCs w:val="20"/>
        </w:rPr>
        <w:t xml:space="preserve">You are encouraged, wherever possible, to resolve concerns or difficulties informally with the person(s) concerned.  We have staff available to assist with resolution of issues at this level.  You may raise an informal complaint by contacting the </w:t>
      </w:r>
      <w:r w:rsidR="00C45179" w:rsidRPr="00E73FB7">
        <w:rPr>
          <w:rFonts w:cstheme="minorHAnsi"/>
          <w:sz w:val="20"/>
          <w:szCs w:val="20"/>
        </w:rPr>
        <w:t>Academic M</w:t>
      </w:r>
      <w:r w:rsidRPr="00E73FB7">
        <w:rPr>
          <w:rFonts w:cstheme="minorHAnsi"/>
          <w:sz w:val="20"/>
          <w:szCs w:val="20"/>
        </w:rPr>
        <w:t xml:space="preserve">anager of the person or service to which the complaint relates.  Call us on </w:t>
      </w:r>
      <w:r w:rsidR="0017281F" w:rsidRPr="00E73FB7">
        <w:rPr>
          <w:rFonts w:cstheme="minorHAnsi"/>
          <w:sz w:val="20"/>
          <w:szCs w:val="20"/>
        </w:rPr>
        <w:t xml:space="preserve">+61 8 8927 5995 </w:t>
      </w:r>
      <w:r w:rsidRPr="00E73FB7">
        <w:rPr>
          <w:rFonts w:cstheme="minorHAnsi"/>
          <w:sz w:val="20"/>
          <w:szCs w:val="20"/>
        </w:rPr>
        <w:t>to contact any of our managers or staff.</w:t>
      </w:r>
    </w:p>
    <w:p w14:paraId="7B17D409" w14:textId="1186E4CC" w:rsidR="00A6396F" w:rsidRPr="000C1855" w:rsidRDefault="00047724" w:rsidP="00151EEB">
      <w:pPr>
        <w:jc w:val="both"/>
        <w:rPr>
          <w:rStyle w:val="Hyperlink"/>
        </w:rPr>
      </w:pPr>
      <w:r w:rsidRPr="00E73FB7">
        <w:rPr>
          <w:rFonts w:cstheme="minorHAnsi"/>
          <w:sz w:val="20"/>
          <w:szCs w:val="20"/>
        </w:rPr>
        <w:t xml:space="preserve">Please note that it is not mandatory for you to raise a complaint informally however we encourage this, as it can often result in a satisfactory resolution quickly and without activating the formal </w:t>
      </w:r>
      <w:hyperlink r:id="rId11" w:history="1">
        <w:r w:rsidRPr="000C1855">
          <w:rPr>
            <w:rStyle w:val="Hyperlink"/>
            <w:rFonts w:cstheme="minorHAnsi"/>
            <w:sz w:val="20"/>
            <w:szCs w:val="20"/>
          </w:rPr>
          <w:t>Complaints and Appeals Handling Procedure</w:t>
        </w:r>
      </w:hyperlink>
      <w:r w:rsidRPr="000C1855">
        <w:rPr>
          <w:rStyle w:val="Hyperlink"/>
          <w:rFonts w:cstheme="minorHAnsi"/>
          <w:sz w:val="20"/>
          <w:szCs w:val="20"/>
        </w:rPr>
        <w:t>.</w:t>
      </w:r>
    </w:p>
    <w:p w14:paraId="32D550AE" w14:textId="627AC309" w:rsidR="00A6396F" w:rsidRPr="00151EEB" w:rsidRDefault="00047724" w:rsidP="00151EEB">
      <w:pPr>
        <w:pStyle w:val="Heading1"/>
        <w:spacing w:before="0" w:after="0" w:line="240" w:lineRule="auto"/>
        <w:rPr>
          <w:rFonts w:asciiTheme="minorHAnsi" w:hAnsiTheme="minorHAnsi" w:cstheme="minorHAnsi"/>
          <w:b w:val="0"/>
          <w:bCs/>
          <w:color w:val="1F3864" w:themeColor="accent1" w:themeShade="80"/>
          <w:sz w:val="20"/>
          <w:szCs w:val="20"/>
        </w:rPr>
      </w:pPr>
      <w:r w:rsidRPr="009F54CC">
        <w:rPr>
          <w:rFonts w:asciiTheme="minorHAnsi" w:hAnsiTheme="minorHAnsi" w:cstheme="minorHAnsi"/>
          <w:b w:val="0"/>
          <w:bCs/>
          <w:color w:val="1F3864" w:themeColor="accent1" w:themeShade="80"/>
          <w:sz w:val="20"/>
          <w:szCs w:val="20"/>
        </w:rPr>
        <w:t>Raising a Complaint or Appeal</w:t>
      </w:r>
    </w:p>
    <w:p w14:paraId="277385E5" w14:textId="17FA3C53" w:rsidR="00047724" w:rsidRPr="00E73FB7" w:rsidRDefault="00047724" w:rsidP="000C1855">
      <w:pPr>
        <w:jc w:val="both"/>
        <w:rPr>
          <w:rFonts w:cstheme="minorHAnsi"/>
          <w:sz w:val="20"/>
          <w:szCs w:val="20"/>
        </w:rPr>
      </w:pPr>
      <w:r w:rsidRPr="00E73FB7">
        <w:rPr>
          <w:rFonts w:cstheme="minorHAnsi"/>
          <w:sz w:val="20"/>
          <w:szCs w:val="20"/>
        </w:rPr>
        <w:t xml:space="preserve">Should you wish to raise a complaint of an academic or non-academic nature, you should utilise the </w:t>
      </w:r>
      <w:hyperlink r:id="rId12" w:history="1">
        <w:r w:rsidRPr="006D36E2">
          <w:rPr>
            <w:rStyle w:val="Hyperlink"/>
            <w:rFonts w:cstheme="minorHAnsi"/>
            <w:sz w:val="20"/>
            <w:szCs w:val="20"/>
          </w:rPr>
          <w:t>Complaints and Appeals Handling Procedure</w:t>
        </w:r>
      </w:hyperlink>
      <w:r w:rsidRPr="009F54CC">
        <w:rPr>
          <w:rFonts w:cstheme="minorHAnsi"/>
          <w:sz w:val="20"/>
          <w:szCs w:val="20"/>
        </w:rPr>
        <w:t>.</w:t>
      </w:r>
    </w:p>
    <w:p w14:paraId="15E4712B" w14:textId="77777777" w:rsidR="00047724" w:rsidRPr="00E73FB7" w:rsidRDefault="00047724" w:rsidP="000C1855">
      <w:pPr>
        <w:jc w:val="both"/>
        <w:rPr>
          <w:rFonts w:cstheme="minorHAnsi"/>
          <w:sz w:val="20"/>
          <w:szCs w:val="20"/>
        </w:rPr>
      </w:pPr>
      <w:r w:rsidRPr="00E73FB7">
        <w:rPr>
          <w:rFonts w:cstheme="minorHAnsi"/>
          <w:sz w:val="20"/>
          <w:szCs w:val="20"/>
        </w:rPr>
        <w:t xml:space="preserve">Complaints of an academic nature include issues relating to your progress, assessment, curriculum and awards in a VET course of study.  </w:t>
      </w:r>
    </w:p>
    <w:p w14:paraId="22BDCA7A" w14:textId="1A991DF8" w:rsidR="00783955" w:rsidRPr="00E73FB7" w:rsidRDefault="00047724" w:rsidP="000C1855">
      <w:pPr>
        <w:jc w:val="both"/>
        <w:rPr>
          <w:rFonts w:cstheme="minorHAnsi"/>
          <w:sz w:val="20"/>
          <w:szCs w:val="20"/>
        </w:rPr>
      </w:pPr>
      <w:r w:rsidRPr="00E73FB7">
        <w:rPr>
          <w:rFonts w:cstheme="minorHAnsi"/>
          <w:sz w:val="20"/>
          <w:szCs w:val="20"/>
        </w:rPr>
        <w:t xml:space="preserve">Complaints of a non-academic nature cover all other matters including complaints in relation to personal information that we hold in relation to you. </w:t>
      </w:r>
    </w:p>
    <w:p w14:paraId="71E1DD02" w14:textId="660D63A3" w:rsidR="00047724" w:rsidRPr="009F54CC" w:rsidRDefault="00047724" w:rsidP="007A3896">
      <w:pPr>
        <w:pStyle w:val="Heading1"/>
        <w:spacing w:before="0" w:after="0" w:line="240" w:lineRule="auto"/>
        <w:rPr>
          <w:rFonts w:asciiTheme="minorHAnsi" w:hAnsiTheme="minorHAnsi" w:cstheme="minorHAnsi"/>
          <w:b w:val="0"/>
          <w:bCs/>
          <w:color w:val="1F3864" w:themeColor="accent1" w:themeShade="80"/>
          <w:sz w:val="20"/>
          <w:szCs w:val="20"/>
        </w:rPr>
      </w:pPr>
      <w:r w:rsidRPr="009F54CC">
        <w:rPr>
          <w:rFonts w:asciiTheme="minorHAnsi" w:hAnsiTheme="minorHAnsi" w:cstheme="minorHAnsi"/>
          <w:b w:val="0"/>
          <w:bCs/>
          <w:color w:val="1F3864" w:themeColor="accent1" w:themeShade="80"/>
          <w:sz w:val="20"/>
          <w:szCs w:val="20"/>
        </w:rPr>
        <w:t>Independent Appeal</w:t>
      </w:r>
    </w:p>
    <w:p w14:paraId="356B4D7E" w14:textId="29F12C43" w:rsidR="00F2032E" w:rsidRPr="00151EEB" w:rsidRDefault="00047724" w:rsidP="000C1855">
      <w:pPr>
        <w:jc w:val="both"/>
        <w:rPr>
          <w:rFonts w:cstheme="minorHAnsi"/>
          <w:color w:val="0563C1" w:themeColor="hyperlink"/>
          <w:sz w:val="20"/>
          <w:szCs w:val="20"/>
        </w:rPr>
      </w:pPr>
      <w:r w:rsidRPr="00E73FB7">
        <w:rPr>
          <w:rFonts w:cstheme="minorHAnsi"/>
          <w:sz w:val="20"/>
          <w:szCs w:val="20"/>
        </w:rPr>
        <w:t xml:space="preserve">In the event you are not satisfied with the result, you are entitled to seek independent review.  Details of organisations independent to us are detailed in the </w:t>
      </w:r>
      <w:hyperlink r:id="rId13" w:history="1">
        <w:r w:rsidRPr="006D36E2">
          <w:rPr>
            <w:rStyle w:val="Hyperlink"/>
            <w:rFonts w:cstheme="minorHAnsi"/>
            <w:sz w:val="20"/>
            <w:szCs w:val="20"/>
          </w:rPr>
          <w:t>Complaints and Appeals Handling Procedure</w:t>
        </w:r>
      </w:hyperlink>
      <w:r w:rsidRPr="006D36E2">
        <w:rPr>
          <w:rStyle w:val="Hyperlink"/>
        </w:rPr>
        <w:t>.</w:t>
      </w:r>
      <w:r w:rsidRPr="00E73FB7">
        <w:rPr>
          <w:rFonts w:cstheme="minorHAnsi"/>
          <w:sz w:val="20"/>
          <w:szCs w:val="20"/>
          <w:lang w:eastAsia="en-AU"/>
        </w:rPr>
        <w:t xml:space="preserve"> </w:t>
      </w:r>
    </w:p>
    <w:p w14:paraId="2BD21E85" w14:textId="3F8C4E17" w:rsidR="0017281F" w:rsidRPr="00E73FB7" w:rsidRDefault="0017281F" w:rsidP="009C6EA5">
      <w:pPr>
        <w:jc w:val="both"/>
        <w:rPr>
          <w:rFonts w:cstheme="minorHAnsi"/>
          <w:sz w:val="20"/>
          <w:szCs w:val="20"/>
          <w:lang w:eastAsia="en-AU"/>
        </w:rPr>
      </w:pPr>
      <w:r w:rsidRPr="00E73FB7">
        <w:rPr>
          <w:rFonts w:cstheme="minorHAnsi"/>
          <w:sz w:val="20"/>
          <w:szCs w:val="20"/>
          <w:lang w:eastAsia="en-AU"/>
        </w:rPr>
        <w:t>The complaints and appeals processes, does not remove the right of the student to take action under Australia's consumer protection laws.</w:t>
      </w:r>
    </w:p>
    <w:p w14:paraId="00E87A5C" w14:textId="77777777" w:rsidR="00047724" w:rsidRPr="007A3896" w:rsidRDefault="00047724" w:rsidP="007A3896">
      <w:pPr>
        <w:rPr>
          <w:rFonts w:cstheme="minorHAnsi"/>
        </w:rPr>
      </w:pPr>
    </w:p>
    <w:sectPr w:rsidR="00047724" w:rsidRPr="007A3896" w:rsidSect="00D02D8C">
      <w:headerReference w:type="default" r:id="rId14"/>
      <w:footerReference w:type="defaul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D5D4E" w14:textId="77777777" w:rsidR="008E0644" w:rsidRDefault="008E0644" w:rsidP="00436377">
      <w:r>
        <w:separator/>
      </w:r>
    </w:p>
  </w:endnote>
  <w:endnote w:type="continuationSeparator" w:id="0">
    <w:p w14:paraId="577E3892" w14:textId="77777777" w:rsidR="008E0644" w:rsidRDefault="008E0644" w:rsidP="0043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ranklin Gothic Book">
    <w:altName w:val="Corbel"/>
    <w:charset w:val="00"/>
    <w:family w:val="swiss"/>
    <w:pitch w:val="variable"/>
    <w:sig w:usb0="00000001"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1E47D" w14:textId="39B542F9" w:rsidR="00D02D8C" w:rsidRDefault="00D02D8C" w:rsidP="00D02D8C">
    <w:pPr>
      <w:tabs>
        <w:tab w:val="left" w:pos="1701"/>
        <w:tab w:val="left" w:pos="5103"/>
        <w:tab w:val="left" w:pos="6804"/>
        <w:tab w:val="right" w:pos="9026"/>
      </w:tabs>
      <w:spacing w:after="0" w:line="240" w:lineRule="auto"/>
      <w:rPr>
        <w:rFonts w:eastAsia="Calibri" w:cs="Times New Roman"/>
        <w:sz w:val="16"/>
        <w:szCs w:val="16"/>
      </w:rPr>
    </w:pPr>
    <w:r>
      <w:rPr>
        <w:rFonts w:eastAsia="Calibri" w:cs="Times New Roman"/>
        <w:b/>
        <w:sz w:val="16"/>
        <w:szCs w:val="16"/>
      </w:rPr>
      <w:t>Document Name:</w:t>
    </w:r>
    <w:r>
      <w:rPr>
        <w:rFonts w:eastAsia="Calibri" w:cs="Times New Roman"/>
        <w:sz w:val="16"/>
        <w:szCs w:val="16"/>
      </w:rPr>
      <w:tab/>
    </w:r>
    <w:r>
      <w:rPr>
        <w:rFonts w:eastAsia="Calibri" w:cs="Times New Roman"/>
        <w:sz w:val="16"/>
        <w:szCs w:val="16"/>
      </w:rPr>
      <w:fldChar w:fldCharType="begin"/>
    </w:r>
    <w:r>
      <w:rPr>
        <w:rFonts w:eastAsia="Calibri" w:cs="Times New Roman"/>
        <w:sz w:val="16"/>
        <w:szCs w:val="16"/>
      </w:rPr>
      <w:instrText xml:space="preserve"> DOCPROPERTY cmsDocName    </w:instrText>
    </w:r>
    <w:r>
      <w:rPr>
        <w:rFonts w:eastAsia="Calibri" w:cs="Times New Roman"/>
        <w:sz w:val="16"/>
        <w:szCs w:val="16"/>
      </w:rPr>
      <w:fldChar w:fldCharType="separate"/>
    </w:r>
    <w:r w:rsidR="00086A5C">
      <w:rPr>
        <w:rFonts w:eastAsia="Calibri" w:cs="Times New Roman"/>
        <w:sz w:val="16"/>
        <w:szCs w:val="16"/>
      </w:rPr>
      <w:t>Complaints and Appeals Policy</w:t>
    </w:r>
    <w:r>
      <w:rPr>
        <w:rFonts w:eastAsia="Calibri" w:cs="Times New Roman"/>
        <w:sz w:val="16"/>
        <w:szCs w:val="16"/>
      </w:rPr>
      <w:fldChar w:fldCharType="end"/>
    </w:r>
    <w:r>
      <w:rPr>
        <w:rFonts w:eastAsia="Calibri" w:cs="Times New Roman"/>
        <w:sz w:val="16"/>
        <w:szCs w:val="16"/>
      </w:rPr>
      <w:tab/>
    </w:r>
    <w:r>
      <w:rPr>
        <w:rFonts w:eastAsia="Calibri" w:cs="Times New Roman"/>
        <w:b/>
        <w:sz w:val="16"/>
        <w:szCs w:val="16"/>
      </w:rPr>
      <w:t>Created By:</w:t>
    </w:r>
    <w:r>
      <w:rPr>
        <w:rFonts w:eastAsia="Calibri" w:cs="Times New Roman"/>
        <w:sz w:val="16"/>
        <w:szCs w:val="16"/>
      </w:rPr>
      <w:tab/>
    </w:r>
    <w:r>
      <w:rPr>
        <w:rFonts w:eastAsia="Calibri" w:cs="Times New Roman"/>
        <w:sz w:val="16"/>
        <w:szCs w:val="16"/>
      </w:rPr>
      <w:fldChar w:fldCharType="begin"/>
    </w:r>
    <w:r>
      <w:rPr>
        <w:rFonts w:eastAsia="Calibri" w:cs="Times New Roman"/>
        <w:sz w:val="16"/>
        <w:szCs w:val="16"/>
      </w:rPr>
      <w:instrText xml:space="preserve"> DOCPROPERTY cmsDocCreatedBy    </w:instrText>
    </w:r>
    <w:r>
      <w:rPr>
        <w:rFonts w:eastAsia="Calibri" w:cs="Times New Roman"/>
        <w:sz w:val="16"/>
        <w:szCs w:val="16"/>
      </w:rPr>
      <w:fldChar w:fldCharType="separate"/>
    </w:r>
    <w:r w:rsidR="00086A5C">
      <w:rPr>
        <w:rFonts w:eastAsia="Calibri" w:cs="Times New Roman"/>
        <w:sz w:val="16"/>
        <w:szCs w:val="16"/>
      </w:rPr>
      <w:t>Administrator</w:t>
    </w:r>
    <w:r>
      <w:rPr>
        <w:rFonts w:eastAsia="Calibri" w:cs="Times New Roman"/>
        <w:sz w:val="16"/>
        <w:szCs w:val="16"/>
      </w:rPr>
      <w:fldChar w:fldCharType="end"/>
    </w:r>
  </w:p>
  <w:p w14:paraId="61C771CA" w14:textId="7D341495" w:rsidR="00D02D8C" w:rsidRDefault="00D02D8C" w:rsidP="00D02D8C">
    <w:pPr>
      <w:tabs>
        <w:tab w:val="left" w:pos="1701"/>
        <w:tab w:val="left" w:pos="5103"/>
        <w:tab w:val="left" w:pos="6804"/>
        <w:tab w:val="right" w:pos="9026"/>
      </w:tabs>
      <w:spacing w:after="0" w:line="240" w:lineRule="auto"/>
      <w:rPr>
        <w:rFonts w:eastAsia="Calibri" w:cs="Times New Roman"/>
        <w:sz w:val="16"/>
        <w:szCs w:val="16"/>
      </w:rPr>
    </w:pPr>
    <w:r>
      <w:rPr>
        <w:rFonts w:eastAsia="Calibri" w:cs="Times New Roman"/>
        <w:b/>
        <w:sz w:val="16"/>
        <w:szCs w:val="16"/>
      </w:rPr>
      <w:t>Revision:</w:t>
    </w:r>
    <w:r>
      <w:rPr>
        <w:rFonts w:eastAsia="Calibri" w:cs="Times New Roman"/>
        <w:sz w:val="16"/>
        <w:szCs w:val="16"/>
      </w:rPr>
      <w:tab/>
    </w:r>
    <w:r>
      <w:rPr>
        <w:rFonts w:eastAsia="Calibri" w:cs="Times New Roman"/>
        <w:sz w:val="16"/>
        <w:szCs w:val="16"/>
      </w:rPr>
      <w:fldChar w:fldCharType="begin"/>
    </w:r>
    <w:r>
      <w:rPr>
        <w:rFonts w:eastAsia="Calibri" w:cs="Times New Roman"/>
        <w:sz w:val="16"/>
        <w:szCs w:val="16"/>
      </w:rPr>
      <w:instrText xml:space="preserve"> DOCPROPERTY cmsRevision    </w:instrText>
    </w:r>
    <w:r>
      <w:rPr>
        <w:rFonts w:eastAsia="Calibri" w:cs="Times New Roman"/>
        <w:sz w:val="16"/>
        <w:szCs w:val="16"/>
      </w:rPr>
      <w:fldChar w:fldCharType="separate"/>
    </w:r>
    <w:r w:rsidR="00086A5C">
      <w:rPr>
        <w:rFonts w:eastAsia="Calibri" w:cs="Times New Roman"/>
        <w:sz w:val="16"/>
        <w:szCs w:val="16"/>
      </w:rPr>
      <w:t>1.3</w:t>
    </w:r>
    <w:r>
      <w:rPr>
        <w:rFonts w:eastAsia="Calibri" w:cs="Times New Roman"/>
        <w:sz w:val="16"/>
        <w:szCs w:val="16"/>
      </w:rPr>
      <w:fldChar w:fldCharType="end"/>
    </w:r>
    <w:r>
      <w:rPr>
        <w:rFonts w:eastAsia="Calibri" w:cs="Times New Roman"/>
        <w:sz w:val="16"/>
        <w:szCs w:val="16"/>
      </w:rPr>
      <w:tab/>
    </w:r>
    <w:r>
      <w:rPr>
        <w:rFonts w:eastAsia="Calibri" w:cs="Times New Roman"/>
        <w:b/>
        <w:sz w:val="16"/>
        <w:szCs w:val="16"/>
      </w:rPr>
      <w:t>Approved By:</w:t>
    </w:r>
    <w:r>
      <w:rPr>
        <w:rFonts w:eastAsia="Calibri" w:cs="Times New Roman"/>
        <w:sz w:val="16"/>
        <w:szCs w:val="16"/>
      </w:rPr>
      <w:tab/>
    </w:r>
    <w:r w:rsidR="00086A5C">
      <w:rPr>
        <w:rFonts w:eastAsia="Calibri" w:cs="Times New Roman"/>
        <w:sz w:val="16"/>
        <w:szCs w:val="16"/>
      </w:rPr>
      <w:t>Director</w:t>
    </w:r>
  </w:p>
  <w:p w14:paraId="3B653F2E" w14:textId="274932D1" w:rsidR="00D02D8C" w:rsidRDefault="00D02D8C" w:rsidP="00D02D8C">
    <w:pPr>
      <w:tabs>
        <w:tab w:val="left" w:pos="1701"/>
        <w:tab w:val="left" w:pos="5103"/>
        <w:tab w:val="left" w:pos="6804"/>
        <w:tab w:val="right" w:pos="9026"/>
      </w:tabs>
      <w:spacing w:after="0" w:line="240" w:lineRule="auto"/>
      <w:rPr>
        <w:rFonts w:eastAsia="Calibri" w:cs="Times New Roman"/>
        <w:sz w:val="16"/>
        <w:szCs w:val="16"/>
      </w:rPr>
    </w:pPr>
    <w:r>
      <w:rPr>
        <w:rFonts w:eastAsia="Calibri" w:cs="Times New Roman"/>
        <w:b/>
        <w:sz w:val="16"/>
        <w:szCs w:val="16"/>
      </w:rPr>
      <w:t>Revision Date:</w:t>
    </w:r>
    <w:r>
      <w:rPr>
        <w:rFonts w:eastAsia="Calibri" w:cs="Times New Roman"/>
        <w:sz w:val="16"/>
        <w:szCs w:val="16"/>
      </w:rPr>
      <w:tab/>
    </w:r>
    <w:r>
      <w:rPr>
        <w:rFonts w:eastAsia="Calibri" w:cs="Times New Roman"/>
        <w:sz w:val="16"/>
        <w:szCs w:val="16"/>
      </w:rPr>
      <w:fldChar w:fldCharType="begin"/>
    </w:r>
    <w:r>
      <w:rPr>
        <w:rFonts w:eastAsia="Calibri" w:cs="Times New Roman"/>
        <w:sz w:val="16"/>
        <w:szCs w:val="16"/>
      </w:rPr>
      <w:instrText xml:space="preserve"> DOCPROPERTY cmsRevisionDate    </w:instrText>
    </w:r>
    <w:r>
      <w:rPr>
        <w:rFonts w:eastAsia="Calibri" w:cs="Times New Roman"/>
        <w:sz w:val="16"/>
        <w:szCs w:val="16"/>
      </w:rPr>
      <w:fldChar w:fldCharType="separate"/>
    </w:r>
    <w:r w:rsidR="00086A5C">
      <w:rPr>
        <w:rFonts w:eastAsia="Calibri" w:cs="Times New Roman"/>
        <w:sz w:val="16"/>
        <w:szCs w:val="16"/>
      </w:rPr>
      <w:t>10-05-2025</w:t>
    </w:r>
    <w:r>
      <w:rPr>
        <w:rFonts w:eastAsia="Calibri" w:cs="Times New Roman"/>
        <w:sz w:val="16"/>
        <w:szCs w:val="16"/>
      </w:rPr>
      <w:fldChar w:fldCharType="end"/>
    </w:r>
    <w:r>
      <w:rPr>
        <w:rFonts w:eastAsia="Calibri" w:cs="Times New Roman"/>
        <w:sz w:val="16"/>
        <w:szCs w:val="16"/>
      </w:rPr>
      <w:tab/>
    </w:r>
    <w:r>
      <w:rPr>
        <w:rFonts w:eastAsia="Calibri" w:cs="Times New Roman"/>
        <w:b/>
        <w:sz w:val="16"/>
        <w:szCs w:val="16"/>
      </w:rPr>
      <w:t>Document Location:</w:t>
    </w:r>
    <w:r>
      <w:rPr>
        <w:rFonts w:eastAsia="Calibri" w:cs="Times New Roman"/>
        <w:sz w:val="16"/>
        <w:szCs w:val="16"/>
      </w:rPr>
      <w:tab/>
    </w:r>
    <w:r>
      <w:rPr>
        <w:rFonts w:eastAsia="Calibri" w:cs="Times New Roman"/>
        <w:sz w:val="16"/>
        <w:szCs w:val="16"/>
      </w:rPr>
      <w:fldChar w:fldCharType="begin"/>
    </w:r>
    <w:r>
      <w:rPr>
        <w:rFonts w:eastAsia="Calibri" w:cs="Times New Roman"/>
        <w:sz w:val="16"/>
        <w:szCs w:val="16"/>
      </w:rPr>
      <w:instrText xml:space="preserve"> DOCPROPERTY cmsDocLocation    </w:instrText>
    </w:r>
    <w:r>
      <w:rPr>
        <w:rFonts w:eastAsia="Calibri" w:cs="Times New Roman"/>
        <w:sz w:val="16"/>
        <w:szCs w:val="16"/>
      </w:rPr>
      <w:fldChar w:fldCharType="separate"/>
    </w:r>
    <w:r w:rsidR="00086A5C">
      <w:rPr>
        <w:rFonts w:eastAsia="Calibri" w:cs="Times New Roman"/>
        <w:sz w:val="16"/>
        <w:szCs w:val="16"/>
      </w:rPr>
      <w:t>NovaCore CMS\CRICOS 2018\Policy\</w:t>
    </w:r>
    <w:r>
      <w:rPr>
        <w:rFonts w:eastAsia="Calibri" w:cs="Times New Roman"/>
        <w:sz w:val="16"/>
        <w:szCs w:val="16"/>
      </w:rPr>
      <w:fldChar w:fldCharType="end"/>
    </w:r>
  </w:p>
  <w:p w14:paraId="363597A9" w14:textId="60F930DE" w:rsidR="00D02D8C" w:rsidRDefault="00D02D8C" w:rsidP="00D02D8C">
    <w:pPr>
      <w:tabs>
        <w:tab w:val="left" w:pos="1701"/>
        <w:tab w:val="left" w:pos="5103"/>
        <w:tab w:val="left" w:pos="6804"/>
        <w:tab w:val="right" w:pos="9026"/>
      </w:tabs>
      <w:spacing w:after="0" w:line="240" w:lineRule="auto"/>
      <w:rPr>
        <w:rFonts w:eastAsia="Calibri" w:cs="Times New Roman"/>
        <w:sz w:val="16"/>
        <w:szCs w:val="16"/>
      </w:rPr>
    </w:pPr>
    <w:r>
      <w:rPr>
        <w:rFonts w:eastAsia="Calibri" w:cs="Times New Roman"/>
        <w:b/>
        <w:sz w:val="16"/>
        <w:szCs w:val="16"/>
      </w:rPr>
      <w:t>Review Date:</w:t>
    </w:r>
    <w:r>
      <w:rPr>
        <w:rFonts w:eastAsia="Calibri" w:cs="Times New Roman"/>
        <w:sz w:val="16"/>
        <w:szCs w:val="16"/>
      </w:rPr>
      <w:tab/>
    </w:r>
    <w:r>
      <w:rPr>
        <w:rFonts w:eastAsia="Calibri" w:cs="Times New Roman"/>
        <w:sz w:val="16"/>
        <w:szCs w:val="16"/>
      </w:rPr>
      <w:fldChar w:fldCharType="begin"/>
    </w:r>
    <w:r>
      <w:rPr>
        <w:rFonts w:eastAsia="Calibri" w:cs="Times New Roman"/>
        <w:sz w:val="16"/>
        <w:szCs w:val="16"/>
      </w:rPr>
      <w:instrText xml:space="preserve"> DOCPROPERTY cmsNextReviewDate    </w:instrText>
    </w:r>
    <w:r>
      <w:rPr>
        <w:rFonts w:eastAsia="Calibri" w:cs="Times New Roman"/>
        <w:sz w:val="16"/>
        <w:szCs w:val="16"/>
      </w:rPr>
      <w:fldChar w:fldCharType="separate"/>
    </w:r>
    <w:r w:rsidR="00086A5C">
      <w:rPr>
        <w:rFonts w:eastAsia="Calibri" w:cs="Times New Roman"/>
        <w:sz w:val="16"/>
        <w:szCs w:val="16"/>
      </w:rPr>
      <w:t>10-05-2026</w:t>
    </w:r>
    <w:r>
      <w:rPr>
        <w:rFonts w:eastAsia="Calibri" w:cs="Times New Roman"/>
        <w:sz w:val="16"/>
        <w:szCs w:val="16"/>
      </w:rPr>
      <w:fldChar w:fldCharType="end"/>
    </w:r>
  </w:p>
  <w:p w14:paraId="410800F7" w14:textId="77777777" w:rsidR="00D02D8C" w:rsidRDefault="00D02D8C" w:rsidP="00D02D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B02F4" w14:textId="77777777" w:rsidR="008E0644" w:rsidRDefault="008E0644" w:rsidP="00436377">
      <w:r>
        <w:separator/>
      </w:r>
    </w:p>
  </w:footnote>
  <w:footnote w:type="continuationSeparator" w:id="0">
    <w:p w14:paraId="5600D61D" w14:textId="77777777" w:rsidR="008E0644" w:rsidRDefault="008E0644" w:rsidP="004363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06967" w14:textId="69D139DD" w:rsidR="00D02D8C" w:rsidRDefault="00D02D8C" w:rsidP="00D02D8C">
    <w:pPr>
      <w:pStyle w:val="Header"/>
      <w:jc w:val="center"/>
    </w:pPr>
    <w:bookmarkStart w:id="0" w:name="_GoBack"/>
    <w:bookmarkEnd w:id="0"/>
    <w:r w:rsidRPr="007E0D0E">
      <w:rPr>
        <w:noProof/>
        <w:lang w:eastAsia="en-AU"/>
      </w:rPr>
      <w:drawing>
        <wp:inline distT="0" distB="0" distL="0" distR="0" wp14:anchorId="6518967E" wp14:editId="1AA5C734">
          <wp:extent cx="732155" cy="386981"/>
          <wp:effectExtent l="0" t="0" r="0" b="0"/>
          <wp:docPr id="6" name="Picture 6" descr="E:\Dropbox\RTO\business\marketing\logo\FOX EDUCATION  CONSULTING_logo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RTO\business\marketing\logo\FOX EDUCATION  CONSULTING_logo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60" cy="399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65899"/>
    <w:multiLevelType w:val="multilevel"/>
    <w:tmpl w:val="5978D508"/>
    <w:lvl w:ilvl="0">
      <w:start w:val="1"/>
      <w:numFmt w:val="bullet"/>
      <w:lvlText w:val=""/>
      <w:lvlJc w:val="left"/>
      <w:pPr>
        <w:ind w:left="360" w:hanging="360"/>
      </w:pPr>
      <w:rPr>
        <w:rFonts w:ascii="Wingdings" w:hAnsi="Wingdings" w:hint="default"/>
        <w:color w:val="1F3864" w:themeColor="accent1" w:themeShade="80"/>
      </w:rPr>
    </w:lvl>
    <w:lvl w:ilvl="1">
      <w:start w:val="1"/>
      <w:numFmt w:val="bullet"/>
      <w:lvlText w:val=""/>
      <w:lvlJc w:val="left"/>
      <w:pPr>
        <w:ind w:left="1418" w:hanging="709"/>
      </w:pPr>
      <w:rPr>
        <w:rFonts w:ascii="Wingdings" w:hAnsi="Wingdings" w:hint="default"/>
        <w:color w:val="4472C4" w:themeColor="accent1"/>
      </w:rPr>
    </w:lvl>
    <w:lvl w:ilvl="2">
      <w:start w:val="1"/>
      <w:numFmt w:val="bullet"/>
      <w:lvlText w:val=""/>
      <w:lvlJc w:val="left"/>
      <w:pPr>
        <w:ind w:left="2127" w:hanging="709"/>
      </w:pPr>
      <w:rPr>
        <w:rFonts w:ascii="Wingdings" w:hAnsi="Wingdings" w:hint="default"/>
        <w:color w:val="4472C4" w:themeColor="accent1"/>
      </w:rPr>
    </w:lvl>
    <w:lvl w:ilvl="3">
      <w:start w:val="1"/>
      <w:numFmt w:val="bullet"/>
      <w:lvlText w:val="−"/>
      <w:lvlJc w:val="left"/>
      <w:pPr>
        <w:ind w:left="2836" w:hanging="709"/>
      </w:pPr>
      <w:rPr>
        <w:rFonts w:ascii="Arial" w:hAnsi="Arial" w:hint="default"/>
        <w:color w:val="4472C4" w:themeColor="accent1"/>
      </w:rPr>
    </w:lvl>
    <w:lvl w:ilvl="4">
      <w:start w:val="1"/>
      <w:numFmt w:val="none"/>
      <w:lvlRestart w:val="0"/>
      <w:lvlText w:val=""/>
      <w:lvlJc w:val="left"/>
      <w:pPr>
        <w:ind w:left="2835" w:firstLine="1"/>
      </w:pPr>
      <w:rPr>
        <w:rFonts w:hint="default"/>
      </w:rPr>
    </w:lvl>
    <w:lvl w:ilvl="5">
      <w:start w:val="1"/>
      <w:numFmt w:val="none"/>
      <w:lvlRestart w:val="0"/>
      <w:lvlText w:val=""/>
      <w:lvlJc w:val="left"/>
      <w:pPr>
        <w:ind w:left="2835" w:firstLine="0"/>
      </w:pPr>
      <w:rPr>
        <w:rFonts w:hint="default"/>
      </w:rPr>
    </w:lvl>
    <w:lvl w:ilvl="6">
      <w:start w:val="1"/>
      <w:numFmt w:val="none"/>
      <w:lvlRestart w:val="0"/>
      <w:lvlText w:val=""/>
      <w:lvlJc w:val="left"/>
      <w:pPr>
        <w:ind w:left="2835" w:firstLine="0"/>
      </w:pPr>
      <w:rPr>
        <w:rFonts w:hint="default"/>
      </w:rPr>
    </w:lvl>
    <w:lvl w:ilvl="7">
      <w:start w:val="1"/>
      <w:numFmt w:val="none"/>
      <w:lvlRestart w:val="0"/>
      <w:lvlText w:val=""/>
      <w:lvlJc w:val="left"/>
      <w:pPr>
        <w:ind w:left="2835" w:firstLine="0"/>
      </w:pPr>
      <w:rPr>
        <w:rFonts w:hint="default"/>
      </w:rPr>
    </w:lvl>
    <w:lvl w:ilvl="8">
      <w:start w:val="1"/>
      <w:numFmt w:val="none"/>
      <w:lvlRestart w:val="0"/>
      <w:lvlText w:val=""/>
      <w:lvlJc w:val="left"/>
      <w:pPr>
        <w:ind w:left="2835" w:firstLine="0"/>
      </w:pPr>
      <w:rPr>
        <w:rFonts w:hint="default"/>
      </w:rPr>
    </w:lvl>
  </w:abstractNum>
  <w:abstractNum w:abstractNumId="1" w15:restartNumberingAfterBreak="0">
    <w:nsid w:val="3C9907CA"/>
    <w:multiLevelType w:val="multilevel"/>
    <w:tmpl w:val="160AE224"/>
    <w:lvl w:ilvl="0">
      <w:start w:val="1"/>
      <w:numFmt w:val="bullet"/>
      <w:pStyle w:val="ListBullet"/>
      <w:lvlText w:val=""/>
      <w:lvlJc w:val="left"/>
      <w:pPr>
        <w:ind w:left="360" w:hanging="360"/>
      </w:pPr>
      <w:rPr>
        <w:rFonts w:ascii="Wingdings" w:hAnsi="Wingdings" w:hint="default"/>
        <w:color w:val="1F3864" w:themeColor="accent1" w:themeShade="80"/>
      </w:rPr>
    </w:lvl>
    <w:lvl w:ilvl="1">
      <w:start w:val="1"/>
      <w:numFmt w:val="bullet"/>
      <w:lvlText w:val=""/>
      <w:lvlJc w:val="left"/>
      <w:pPr>
        <w:ind w:left="1418" w:hanging="709"/>
      </w:pPr>
      <w:rPr>
        <w:rFonts w:ascii="Wingdings" w:hAnsi="Wingdings" w:hint="default"/>
        <w:color w:val="4472C4" w:themeColor="accent1"/>
      </w:rPr>
    </w:lvl>
    <w:lvl w:ilvl="2">
      <w:start w:val="1"/>
      <w:numFmt w:val="bullet"/>
      <w:lvlText w:val=""/>
      <w:lvlJc w:val="left"/>
      <w:pPr>
        <w:ind w:left="2127" w:hanging="709"/>
      </w:pPr>
      <w:rPr>
        <w:rFonts w:ascii="Wingdings" w:hAnsi="Wingdings" w:hint="default"/>
        <w:color w:val="4472C4" w:themeColor="accent1"/>
      </w:rPr>
    </w:lvl>
    <w:lvl w:ilvl="3">
      <w:start w:val="1"/>
      <w:numFmt w:val="bullet"/>
      <w:lvlText w:val="−"/>
      <w:lvlJc w:val="left"/>
      <w:pPr>
        <w:ind w:left="2836" w:hanging="709"/>
      </w:pPr>
      <w:rPr>
        <w:rFonts w:ascii="Arial" w:hAnsi="Arial" w:hint="default"/>
        <w:color w:val="4472C4" w:themeColor="accent1"/>
      </w:rPr>
    </w:lvl>
    <w:lvl w:ilvl="4">
      <w:start w:val="1"/>
      <w:numFmt w:val="none"/>
      <w:lvlRestart w:val="0"/>
      <w:lvlText w:val=""/>
      <w:lvlJc w:val="left"/>
      <w:pPr>
        <w:ind w:left="2835" w:firstLine="1"/>
      </w:pPr>
      <w:rPr>
        <w:rFonts w:hint="default"/>
      </w:rPr>
    </w:lvl>
    <w:lvl w:ilvl="5">
      <w:start w:val="1"/>
      <w:numFmt w:val="none"/>
      <w:lvlRestart w:val="0"/>
      <w:lvlText w:val=""/>
      <w:lvlJc w:val="left"/>
      <w:pPr>
        <w:ind w:left="2835" w:firstLine="0"/>
      </w:pPr>
      <w:rPr>
        <w:rFonts w:hint="default"/>
      </w:rPr>
    </w:lvl>
    <w:lvl w:ilvl="6">
      <w:start w:val="1"/>
      <w:numFmt w:val="none"/>
      <w:lvlRestart w:val="0"/>
      <w:lvlText w:val=""/>
      <w:lvlJc w:val="left"/>
      <w:pPr>
        <w:ind w:left="2835" w:firstLine="0"/>
      </w:pPr>
      <w:rPr>
        <w:rFonts w:hint="default"/>
      </w:rPr>
    </w:lvl>
    <w:lvl w:ilvl="7">
      <w:start w:val="1"/>
      <w:numFmt w:val="none"/>
      <w:lvlRestart w:val="0"/>
      <w:lvlText w:val=""/>
      <w:lvlJc w:val="left"/>
      <w:pPr>
        <w:ind w:left="2835" w:firstLine="0"/>
      </w:pPr>
      <w:rPr>
        <w:rFonts w:hint="default"/>
      </w:rPr>
    </w:lvl>
    <w:lvl w:ilvl="8">
      <w:start w:val="1"/>
      <w:numFmt w:val="none"/>
      <w:lvlRestart w:val="0"/>
      <w:lvlText w:val=""/>
      <w:lvlJc w:val="left"/>
      <w:pPr>
        <w:ind w:left="2835" w:firstLine="0"/>
      </w:pPr>
      <w:rPr>
        <w:rFonts w:hint="default"/>
      </w:rPr>
    </w:lvl>
  </w:abstractNum>
  <w:abstractNum w:abstractNumId="2" w15:restartNumberingAfterBreak="0">
    <w:nsid w:val="641E1559"/>
    <w:multiLevelType w:val="multilevel"/>
    <w:tmpl w:val="B95E0416"/>
    <w:lvl w:ilvl="0">
      <w:start w:val="1"/>
      <w:numFmt w:val="bullet"/>
      <w:lvlText w:val=""/>
      <w:lvlJc w:val="left"/>
      <w:pPr>
        <w:ind w:left="360" w:hanging="360"/>
      </w:pPr>
      <w:rPr>
        <w:rFonts w:ascii="Symbol" w:hAnsi="Symbol" w:hint="default"/>
        <w:color w:val="auto"/>
      </w:rPr>
    </w:lvl>
    <w:lvl w:ilvl="1">
      <w:start w:val="1"/>
      <w:numFmt w:val="bullet"/>
      <w:lvlText w:val=""/>
      <w:lvlJc w:val="left"/>
      <w:pPr>
        <w:ind w:left="1418" w:hanging="709"/>
      </w:pPr>
      <w:rPr>
        <w:rFonts w:ascii="Wingdings" w:hAnsi="Wingdings" w:hint="default"/>
        <w:color w:val="4472C4" w:themeColor="accent1"/>
      </w:rPr>
    </w:lvl>
    <w:lvl w:ilvl="2">
      <w:start w:val="1"/>
      <w:numFmt w:val="bullet"/>
      <w:lvlText w:val=""/>
      <w:lvlJc w:val="left"/>
      <w:pPr>
        <w:ind w:left="2127" w:hanging="709"/>
      </w:pPr>
      <w:rPr>
        <w:rFonts w:ascii="Wingdings" w:hAnsi="Wingdings" w:hint="default"/>
        <w:color w:val="4472C4" w:themeColor="accent1"/>
      </w:rPr>
    </w:lvl>
    <w:lvl w:ilvl="3">
      <w:start w:val="1"/>
      <w:numFmt w:val="bullet"/>
      <w:lvlText w:val="−"/>
      <w:lvlJc w:val="left"/>
      <w:pPr>
        <w:ind w:left="2836" w:hanging="709"/>
      </w:pPr>
      <w:rPr>
        <w:rFonts w:ascii="Arial" w:hAnsi="Arial" w:hint="default"/>
        <w:color w:val="4472C4" w:themeColor="accent1"/>
      </w:rPr>
    </w:lvl>
    <w:lvl w:ilvl="4">
      <w:start w:val="1"/>
      <w:numFmt w:val="none"/>
      <w:lvlRestart w:val="0"/>
      <w:lvlText w:val=""/>
      <w:lvlJc w:val="left"/>
      <w:pPr>
        <w:ind w:left="2835" w:firstLine="1"/>
      </w:pPr>
      <w:rPr>
        <w:rFonts w:hint="default"/>
      </w:rPr>
    </w:lvl>
    <w:lvl w:ilvl="5">
      <w:start w:val="1"/>
      <w:numFmt w:val="none"/>
      <w:lvlRestart w:val="0"/>
      <w:lvlText w:val=""/>
      <w:lvlJc w:val="left"/>
      <w:pPr>
        <w:ind w:left="2835" w:firstLine="0"/>
      </w:pPr>
      <w:rPr>
        <w:rFonts w:hint="default"/>
      </w:rPr>
    </w:lvl>
    <w:lvl w:ilvl="6">
      <w:start w:val="1"/>
      <w:numFmt w:val="none"/>
      <w:lvlRestart w:val="0"/>
      <w:lvlText w:val=""/>
      <w:lvlJc w:val="left"/>
      <w:pPr>
        <w:ind w:left="2835" w:firstLine="0"/>
      </w:pPr>
      <w:rPr>
        <w:rFonts w:hint="default"/>
      </w:rPr>
    </w:lvl>
    <w:lvl w:ilvl="7">
      <w:start w:val="1"/>
      <w:numFmt w:val="none"/>
      <w:lvlRestart w:val="0"/>
      <w:lvlText w:val=""/>
      <w:lvlJc w:val="left"/>
      <w:pPr>
        <w:ind w:left="2835" w:firstLine="0"/>
      </w:pPr>
      <w:rPr>
        <w:rFonts w:hint="default"/>
      </w:rPr>
    </w:lvl>
    <w:lvl w:ilvl="8">
      <w:start w:val="1"/>
      <w:numFmt w:val="none"/>
      <w:lvlRestart w:val="0"/>
      <w:lvlText w:val=""/>
      <w:lvlJc w:val="left"/>
      <w:pPr>
        <w:ind w:left="2835" w:firstLine="0"/>
      </w:pPr>
      <w:rPr>
        <w:rFonts w:hint="default"/>
      </w:rPr>
    </w:lvl>
  </w:abstractNum>
  <w:abstractNum w:abstractNumId="3" w15:restartNumberingAfterBreak="0">
    <w:nsid w:val="6FF13FDE"/>
    <w:multiLevelType w:val="hybridMultilevel"/>
    <w:tmpl w:val="E6B2CF40"/>
    <w:lvl w:ilvl="0" w:tplc="CC8A6338">
      <w:start w:val="1"/>
      <w:numFmt w:val="bullet"/>
      <w:pStyle w:val="QCBullet"/>
      <w:lvlText w:val=""/>
      <w:lvlJc w:val="left"/>
      <w:pPr>
        <w:ind w:left="720" w:hanging="360"/>
      </w:pPr>
      <w:rPr>
        <w:rFonts w:ascii="Wingdings" w:hAnsi="Wingdings" w:hint="default"/>
        <w:color w:val="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
  </w:num>
  <w:num w:numId="5">
    <w:abstractNumId w:val="1"/>
  </w:num>
  <w:num w:numId="6">
    <w:abstractNumId w:val="2"/>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724"/>
    <w:rsid w:val="00047724"/>
    <w:rsid w:val="00086A5C"/>
    <w:rsid w:val="000C1855"/>
    <w:rsid w:val="000D57FD"/>
    <w:rsid w:val="000E4495"/>
    <w:rsid w:val="001205D5"/>
    <w:rsid w:val="00143A2E"/>
    <w:rsid w:val="00151EEB"/>
    <w:rsid w:val="001520A5"/>
    <w:rsid w:val="0017281F"/>
    <w:rsid w:val="001D0552"/>
    <w:rsid w:val="001D75DB"/>
    <w:rsid w:val="001F7557"/>
    <w:rsid w:val="00224B0D"/>
    <w:rsid w:val="0026569D"/>
    <w:rsid w:val="002C02F5"/>
    <w:rsid w:val="003E58B4"/>
    <w:rsid w:val="004070FB"/>
    <w:rsid w:val="00436377"/>
    <w:rsid w:val="00447031"/>
    <w:rsid w:val="004654D0"/>
    <w:rsid w:val="00476E3C"/>
    <w:rsid w:val="0054280E"/>
    <w:rsid w:val="00547207"/>
    <w:rsid w:val="00590389"/>
    <w:rsid w:val="005F7EA1"/>
    <w:rsid w:val="00602101"/>
    <w:rsid w:val="00640707"/>
    <w:rsid w:val="00666962"/>
    <w:rsid w:val="006A770E"/>
    <w:rsid w:val="006B65D1"/>
    <w:rsid w:val="006C374D"/>
    <w:rsid w:val="006D36E2"/>
    <w:rsid w:val="00780E38"/>
    <w:rsid w:val="00783955"/>
    <w:rsid w:val="007A3896"/>
    <w:rsid w:val="007B122C"/>
    <w:rsid w:val="007E631B"/>
    <w:rsid w:val="008144A1"/>
    <w:rsid w:val="00835ABC"/>
    <w:rsid w:val="008576E9"/>
    <w:rsid w:val="00876D1E"/>
    <w:rsid w:val="00886E0C"/>
    <w:rsid w:val="008B53DE"/>
    <w:rsid w:val="008E0644"/>
    <w:rsid w:val="00972F50"/>
    <w:rsid w:val="009856EB"/>
    <w:rsid w:val="009B317E"/>
    <w:rsid w:val="009C6EA5"/>
    <w:rsid w:val="009D3378"/>
    <w:rsid w:val="009D4777"/>
    <w:rsid w:val="009F54CC"/>
    <w:rsid w:val="00A032E5"/>
    <w:rsid w:val="00A40494"/>
    <w:rsid w:val="00A6396F"/>
    <w:rsid w:val="00A66A7B"/>
    <w:rsid w:val="00A70928"/>
    <w:rsid w:val="00A7356F"/>
    <w:rsid w:val="00AB6421"/>
    <w:rsid w:val="00B310F5"/>
    <w:rsid w:val="00B452DD"/>
    <w:rsid w:val="00B515C4"/>
    <w:rsid w:val="00C25EEC"/>
    <w:rsid w:val="00C33F1E"/>
    <w:rsid w:val="00C45179"/>
    <w:rsid w:val="00CD0AF9"/>
    <w:rsid w:val="00CD4A12"/>
    <w:rsid w:val="00D02D8C"/>
    <w:rsid w:val="00D041AF"/>
    <w:rsid w:val="00D57A4F"/>
    <w:rsid w:val="00D8572F"/>
    <w:rsid w:val="00D90FC6"/>
    <w:rsid w:val="00D92C8F"/>
    <w:rsid w:val="00E01651"/>
    <w:rsid w:val="00E05099"/>
    <w:rsid w:val="00E42A4A"/>
    <w:rsid w:val="00E52015"/>
    <w:rsid w:val="00E7333C"/>
    <w:rsid w:val="00E73FB7"/>
    <w:rsid w:val="00ED5387"/>
    <w:rsid w:val="00EE4111"/>
    <w:rsid w:val="00F2032E"/>
    <w:rsid w:val="00FD697B"/>
    <w:rsid w:val="00FE2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F5DA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D8C"/>
    <w:pPr>
      <w:spacing w:after="160" w:line="259" w:lineRule="auto"/>
    </w:pPr>
    <w:rPr>
      <w:sz w:val="22"/>
      <w:szCs w:val="22"/>
      <w:lang w:val="en-AU"/>
    </w:rPr>
  </w:style>
  <w:style w:type="paragraph" w:styleId="Heading1">
    <w:name w:val="heading 1"/>
    <w:basedOn w:val="Normal"/>
    <w:next w:val="Normal"/>
    <w:link w:val="Heading1Char"/>
    <w:uiPriority w:val="9"/>
    <w:qFormat/>
    <w:rsid w:val="00047724"/>
    <w:pPr>
      <w:keepNext/>
      <w:spacing w:before="360" w:after="60" w:line="276" w:lineRule="auto"/>
      <w:outlineLvl w:val="0"/>
    </w:pPr>
    <w:rPr>
      <w:rFonts w:asciiTheme="majorHAnsi" w:hAnsiTheme="majorHAnsi"/>
      <w:b/>
      <w:color w:val="4472C4" w:themeColor="accent1"/>
      <w:sz w:val="28"/>
    </w:rPr>
  </w:style>
  <w:style w:type="paragraph" w:styleId="Heading2">
    <w:name w:val="heading 2"/>
    <w:basedOn w:val="Normal"/>
    <w:next w:val="Normal"/>
    <w:link w:val="Heading2Char"/>
    <w:uiPriority w:val="9"/>
    <w:semiHidden/>
    <w:unhideWhenUsed/>
    <w:qFormat/>
    <w:rsid w:val="008B53D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D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2D8C"/>
    <w:rPr>
      <w:sz w:val="22"/>
      <w:szCs w:val="22"/>
      <w:lang w:val="en-AU"/>
    </w:rPr>
  </w:style>
  <w:style w:type="paragraph" w:styleId="Footer">
    <w:name w:val="footer"/>
    <w:basedOn w:val="Normal"/>
    <w:link w:val="FooterChar"/>
    <w:uiPriority w:val="99"/>
    <w:unhideWhenUsed/>
    <w:rsid w:val="00D02D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2D8C"/>
    <w:rPr>
      <w:sz w:val="22"/>
      <w:szCs w:val="22"/>
      <w:lang w:val="en-AU"/>
    </w:rPr>
  </w:style>
  <w:style w:type="paragraph" w:styleId="BodyText">
    <w:name w:val="Body Text"/>
    <w:basedOn w:val="Normal"/>
    <w:link w:val="BodyTextChar"/>
    <w:uiPriority w:val="1"/>
    <w:qFormat/>
    <w:rsid w:val="000D57FD"/>
    <w:pPr>
      <w:widowControl w:val="0"/>
      <w:spacing w:before="115"/>
      <w:ind w:left="948" w:hanging="340"/>
    </w:pPr>
    <w:rPr>
      <w:rFonts w:ascii="Franklin Gothic Book" w:eastAsia="Franklin Gothic Book" w:hAnsi="Franklin Gothic Book"/>
      <w:sz w:val="20"/>
      <w:szCs w:val="20"/>
    </w:rPr>
  </w:style>
  <w:style w:type="character" w:customStyle="1" w:styleId="BodyTextChar">
    <w:name w:val="Body Text Char"/>
    <w:basedOn w:val="DefaultParagraphFont"/>
    <w:link w:val="BodyText"/>
    <w:uiPriority w:val="1"/>
    <w:rsid w:val="000D57FD"/>
    <w:rPr>
      <w:rFonts w:ascii="Franklin Gothic Book" w:eastAsia="Franklin Gothic Book" w:hAnsi="Franklin Gothic Book"/>
      <w:sz w:val="20"/>
      <w:szCs w:val="20"/>
    </w:rPr>
  </w:style>
  <w:style w:type="paragraph" w:customStyle="1" w:styleId="QCNormal">
    <w:name w:val="QC Normal"/>
    <w:basedOn w:val="Footer"/>
    <w:uiPriority w:val="29"/>
    <w:rsid w:val="000D57FD"/>
    <w:pPr>
      <w:framePr w:vSpace="240" w:wrap="around" w:hAnchor="margin" w:xAlign="right" w:yAlign="bottom"/>
      <w:tabs>
        <w:tab w:val="clear" w:pos="4513"/>
        <w:tab w:val="clear" w:pos="9026"/>
      </w:tabs>
    </w:pPr>
    <w:rPr>
      <w:rFonts w:ascii="Arial Narrow" w:hAnsi="Arial Narrow"/>
      <w:color w:val="44546A" w:themeColor="text2"/>
      <w:sz w:val="18"/>
    </w:rPr>
  </w:style>
  <w:style w:type="table" w:customStyle="1" w:styleId="xTrainingQC">
    <w:name w:val="xTrainingQC"/>
    <w:basedOn w:val="TableNormal"/>
    <w:uiPriority w:val="99"/>
    <w:rsid w:val="000D57FD"/>
    <w:rPr>
      <w:rFonts w:ascii="Arial Narrow" w:hAnsi="Arial Narrow"/>
      <w:color w:val="44546A" w:themeColor="text2"/>
      <w:sz w:val="18"/>
      <w:szCs w:val="22"/>
      <w:lang w:val="en-AU"/>
    </w:rPr>
    <w:tblPr>
      <w:tblStyleRowBandSize w:val="1"/>
      <w:tblStyleColBandSize w:val="1"/>
      <w:jc w:val="right"/>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tblCellMar>
        <w:left w:w="57" w:type="dxa"/>
        <w:right w:w="57" w:type="dxa"/>
      </w:tblCellMar>
    </w:tblPr>
    <w:trPr>
      <w:jc w:val="right"/>
    </w:trPr>
    <w:tblStylePr w:type="firstCol">
      <w:pPr>
        <w:wordWrap/>
        <w:spacing w:beforeLines="0" w:before="0" w:beforeAutospacing="0" w:afterLines="0" w:after="0" w:afterAutospacing="0" w:line="240" w:lineRule="auto"/>
      </w:pPr>
      <w:rPr>
        <w:b/>
        <w:i w:val="0"/>
      </w:rPr>
      <w:tblPr/>
      <w:tcPr>
        <w:shd w:val="clear" w:color="auto" w:fill="D5DCE4" w:themeFill="text2" w:themeFillTint="33"/>
      </w:tcPr>
    </w:tblStylePr>
  </w:style>
  <w:style w:type="paragraph" w:customStyle="1" w:styleId="QCBullet">
    <w:name w:val="QC Bullet"/>
    <w:basedOn w:val="Normal"/>
    <w:uiPriority w:val="29"/>
    <w:qFormat/>
    <w:rsid w:val="000D57FD"/>
    <w:pPr>
      <w:framePr w:vSpace="238" w:wrap="around" w:hAnchor="margin" w:xAlign="right" w:yAlign="bottom"/>
      <w:numPr>
        <w:numId w:val="1"/>
      </w:numPr>
    </w:pPr>
    <w:rPr>
      <w:rFonts w:ascii="Arial Narrow" w:hAnsi="Arial Narrow"/>
      <w:color w:val="44546A" w:themeColor="text2"/>
      <w:sz w:val="18"/>
    </w:rPr>
  </w:style>
  <w:style w:type="paragraph" w:customStyle="1" w:styleId="QCDate">
    <w:name w:val="QC Date"/>
    <w:basedOn w:val="Normal"/>
    <w:uiPriority w:val="29"/>
    <w:qFormat/>
    <w:rsid w:val="000D57FD"/>
    <w:pPr>
      <w:framePr w:vSpace="238" w:wrap="around" w:vAnchor="page" w:hAnchor="text" w:xAlign="center" w:y="16217"/>
      <w:suppressOverlap/>
    </w:pPr>
    <w:rPr>
      <w:rFonts w:ascii="Arial Narrow" w:hAnsi="Arial Narrow"/>
      <w:color w:val="44546A" w:themeColor="text2"/>
      <w:sz w:val="18"/>
    </w:rPr>
  </w:style>
  <w:style w:type="paragraph" w:customStyle="1" w:styleId="QCVersionNo">
    <w:name w:val="QC Version No"/>
    <w:basedOn w:val="Normal"/>
    <w:uiPriority w:val="29"/>
    <w:qFormat/>
    <w:rsid w:val="000D57FD"/>
    <w:pPr>
      <w:framePr w:vSpace="240" w:wrap="around" w:hAnchor="margin" w:xAlign="right" w:yAlign="bottom"/>
    </w:pPr>
    <w:rPr>
      <w:rFonts w:ascii="Arial Narrow" w:hAnsi="Arial Narrow"/>
      <w:color w:val="44546A" w:themeColor="text2"/>
      <w:sz w:val="18"/>
    </w:rPr>
  </w:style>
  <w:style w:type="character" w:customStyle="1" w:styleId="Heading1Char">
    <w:name w:val="Heading 1 Char"/>
    <w:basedOn w:val="DefaultParagraphFont"/>
    <w:link w:val="Heading1"/>
    <w:uiPriority w:val="9"/>
    <w:rsid w:val="00047724"/>
    <w:rPr>
      <w:rFonts w:asciiTheme="majorHAnsi" w:hAnsiTheme="majorHAnsi"/>
      <w:b/>
      <w:color w:val="4472C4" w:themeColor="accent1"/>
      <w:sz w:val="28"/>
      <w:szCs w:val="22"/>
      <w:lang w:val="en-AU"/>
    </w:rPr>
  </w:style>
  <w:style w:type="character" w:customStyle="1" w:styleId="BoldText">
    <w:name w:val="Bold Text"/>
    <w:basedOn w:val="DefaultParagraphFont"/>
    <w:uiPriority w:val="2"/>
    <w:qFormat/>
    <w:rsid w:val="00047724"/>
    <w:rPr>
      <w:b/>
      <w:color w:val="44546A" w:themeColor="text2"/>
    </w:rPr>
  </w:style>
  <w:style w:type="character" w:styleId="Hyperlink">
    <w:name w:val="Hyperlink"/>
    <w:basedOn w:val="DefaultParagraphFont"/>
    <w:uiPriority w:val="7"/>
    <w:unhideWhenUsed/>
    <w:rsid w:val="00047724"/>
    <w:rPr>
      <w:i w:val="0"/>
      <w:color w:val="0563C1" w:themeColor="hyperlink"/>
      <w:u w:val="none"/>
    </w:rPr>
  </w:style>
  <w:style w:type="character" w:customStyle="1" w:styleId="ItalicText">
    <w:name w:val="Italic Text"/>
    <w:basedOn w:val="DefaultParagraphFont"/>
    <w:uiPriority w:val="2"/>
    <w:qFormat/>
    <w:rsid w:val="00047724"/>
    <w:rPr>
      <w:i/>
    </w:rPr>
  </w:style>
  <w:style w:type="paragraph" w:styleId="ListBullet">
    <w:name w:val="List Bullet"/>
    <w:basedOn w:val="Normal"/>
    <w:uiPriority w:val="6"/>
    <w:qFormat/>
    <w:rsid w:val="00047724"/>
    <w:pPr>
      <w:numPr>
        <w:numId w:val="2"/>
      </w:numPr>
      <w:spacing w:before="240" w:line="276" w:lineRule="auto"/>
      <w:jc w:val="both"/>
    </w:pPr>
  </w:style>
  <w:style w:type="paragraph" w:styleId="Title">
    <w:name w:val="Title"/>
    <w:basedOn w:val="Normal"/>
    <w:next w:val="Normal"/>
    <w:link w:val="TitleChar"/>
    <w:uiPriority w:val="20"/>
    <w:rsid w:val="00047724"/>
    <w:pPr>
      <w:spacing w:before="480" w:after="120" w:line="276" w:lineRule="auto"/>
      <w:jc w:val="center"/>
    </w:pPr>
    <w:rPr>
      <w:rFonts w:eastAsiaTheme="majorEastAsia" w:cstheme="majorBidi"/>
      <w:b/>
      <w:color w:val="4472C4" w:themeColor="accent1"/>
      <w:spacing w:val="5"/>
      <w:kern w:val="28"/>
      <w:sz w:val="36"/>
      <w:szCs w:val="52"/>
    </w:rPr>
  </w:style>
  <w:style w:type="character" w:customStyle="1" w:styleId="TitleChar">
    <w:name w:val="Title Char"/>
    <w:basedOn w:val="DefaultParagraphFont"/>
    <w:link w:val="Title"/>
    <w:uiPriority w:val="20"/>
    <w:rsid w:val="00047724"/>
    <w:rPr>
      <w:rFonts w:eastAsiaTheme="majorEastAsia" w:cstheme="majorBidi"/>
      <w:b/>
      <w:color w:val="4472C4" w:themeColor="accent1"/>
      <w:spacing w:val="5"/>
      <w:kern w:val="28"/>
      <w:sz w:val="36"/>
      <w:szCs w:val="52"/>
      <w:lang w:val="en-AU"/>
    </w:rPr>
  </w:style>
  <w:style w:type="paragraph" w:customStyle="1" w:styleId="QCspacer">
    <w:name w:val="QC spacer"/>
    <w:basedOn w:val="NoSpacing"/>
    <w:uiPriority w:val="29"/>
    <w:rsid w:val="00047724"/>
    <w:pPr>
      <w:spacing w:line="80" w:lineRule="exact"/>
    </w:pPr>
    <w:rPr>
      <w:color w:val="5B9BD5" w:themeColor="accent5"/>
      <w:sz w:val="8"/>
      <w:szCs w:val="22"/>
      <w:lang w:val="en-AU"/>
    </w:rPr>
  </w:style>
  <w:style w:type="paragraph" w:styleId="NoSpacing">
    <w:name w:val="No Spacing"/>
    <w:uiPriority w:val="1"/>
    <w:qFormat/>
    <w:rsid w:val="00047724"/>
  </w:style>
  <w:style w:type="character" w:customStyle="1" w:styleId="Heading2Char">
    <w:name w:val="Heading 2 Char"/>
    <w:basedOn w:val="DefaultParagraphFont"/>
    <w:link w:val="Heading2"/>
    <w:uiPriority w:val="9"/>
    <w:semiHidden/>
    <w:rsid w:val="008B53DE"/>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7A3896"/>
    <w:rPr>
      <w:color w:val="954F72" w:themeColor="followedHyperlink"/>
      <w:u w:val="single"/>
    </w:rPr>
  </w:style>
  <w:style w:type="character" w:customStyle="1" w:styleId="UnresolvedMention">
    <w:name w:val="Unresolved Mention"/>
    <w:basedOn w:val="DefaultParagraphFont"/>
    <w:uiPriority w:val="99"/>
    <w:semiHidden/>
    <w:unhideWhenUsed/>
    <w:rsid w:val="00E01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2085">
      <w:bodyDiv w:val="1"/>
      <w:marLeft w:val="0"/>
      <w:marRight w:val="0"/>
      <w:marTop w:val="0"/>
      <w:marBottom w:val="0"/>
      <w:divBdr>
        <w:top w:val="none" w:sz="0" w:space="0" w:color="auto"/>
        <w:left w:val="none" w:sz="0" w:space="0" w:color="auto"/>
        <w:bottom w:val="none" w:sz="0" w:space="0" w:color="auto"/>
        <w:right w:val="none" w:sz="0" w:space="0" w:color="auto"/>
      </w:divBdr>
    </w:div>
    <w:div w:id="10008115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x.edu.au/wp-content/uploads/Complaints-and-Appeals-Handling-Procedure-3.doc" TargetMode="External"/><Relationship Id="rId13" Type="http://schemas.openxmlformats.org/officeDocument/2006/relationships/hyperlink" Target="https://fox.edu.au/wp-content/uploads/Complaints-and-Appeals-Handling-Procedure-3.doc" TargetMode="External"/><Relationship Id="rId3" Type="http://schemas.openxmlformats.org/officeDocument/2006/relationships/settings" Target="settings.xml"/><Relationship Id="rId7" Type="http://schemas.openxmlformats.org/officeDocument/2006/relationships/hyperlink" Target="http://www.fox.edu.au" TargetMode="External"/><Relationship Id="rId12" Type="http://schemas.openxmlformats.org/officeDocument/2006/relationships/hyperlink" Target="https://fox.edu.au/wp-content/uploads/Complaints-and-Appeals-Handling-Procedure-3.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x.edu.au/wp-content/uploads/Complaints-and-Appeals-Handling-Procedure-3.do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ox.edu.au" TargetMode="External"/><Relationship Id="rId4" Type="http://schemas.openxmlformats.org/officeDocument/2006/relationships/webSettings" Target="webSettings.xml"/><Relationship Id="rId9" Type="http://schemas.openxmlformats.org/officeDocument/2006/relationships/hyperlink" Target="https://fox.edu.au/wp-content/uploads/Complaints-and-Appeals-Handling-Procedure-3.do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898</Words>
  <Characters>5103</Characters>
  <Application>Microsoft Office Word</Application>
  <DocSecurity>0</DocSecurity>
  <Lines>94</Lines>
  <Paragraphs>58</Paragraphs>
  <ScaleCrop>false</ScaleCrop>
  <HeadingPairs>
    <vt:vector size="2" baseType="variant">
      <vt:variant>
        <vt:lpstr>Title</vt:lpstr>
      </vt:variant>
      <vt:variant>
        <vt:i4>1</vt:i4>
      </vt:variant>
    </vt:vector>
  </HeadingPairs>
  <TitlesOfParts>
    <vt:vector size="1" baseType="lpstr">
      <vt:lpstr/>
    </vt:vector>
  </TitlesOfParts>
  <Company>Fox Education &amp; Consultancy</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Parsonson</dc:creator>
  <cp:keywords/>
  <dc:description/>
  <cp:lastModifiedBy>RTOADM</cp:lastModifiedBy>
  <cp:revision>4</cp:revision>
  <cp:lastPrinted>2022-10-06T02:06:00Z</cp:lastPrinted>
  <dcterms:created xsi:type="dcterms:W3CDTF">2025-05-01T10:13:00Z</dcterms:created>
  <dcterms:modified xsi:type="dcterms:W3CDTF">2025-05-09T19:28:00Z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reditationBody">
    <vt:lpwstr>ASQA and ANMAC for AHPRA</vt:lpwstr>
  </property>
  <property fmtid="{D5CDD505-2E9C-101B-9397-08002B2CF9AE}" pid="3" name="AdminEmail">
    <vt:lpwstr>admin@foxedu.com.au</vt:lpwstr>
  </property>
  <property fmtid="{D5CDD505-2E9C-101B-9397-08002B2CF9AE}" pid="4" name="CRICOSnumber">
    <vt:lpwstr>&lt;CRICOS Number&gt;</vt:lpwstr>
  </property>
  <property fmtid="{D5CDD505-2E9C-101B-9397-08002B2CF9AE}" pid="5" name="PhoneNumber">
    <vt:lpwstr>61889275995</vt:lpwstr>
  </property>
  <property fmtid="{D5CDD505-2E9C-101B-9397-08002B2CF9AE}" pid="6" name="Position1">
    <vt:lpwstr>Director</vt:lpwstr>
  </property>
  <property fmtid="{D5CDD505-2E9C-101B-9397-08002B2CF9AE}" pid="7" name="Position2">
    <vt:lpwstr>Quality Officer</vt:lpwstr>
  </property>
  <property fmtid="{D5CDD505-2E9C-101B-9397-08002B2CF9AE}" pid="8" name="Position3">
    <vt:lpwstr>Educator</vt:lpwstr>
  </property>
  <property fmtid="{D5CDD505-2E9C-101B-9397-08002B2CF9AE}" pid="9" name="Position4">
    <vt:lpwstr>&lt;Position 4&gt;</vt:lpwstr>
  </property>
  <property fmtid="{D5CDD505-2E9C-101B-9397-08002B2CF9AE}" pid="10" name="Position5">
    <vt:lpwstr>&lt;Position 5&gt;</vt:lpwstr>
  </property>
  <property fmtid="{D5CDD505-2E9C-101B-9397-08002B2CF9AE}" pid="11" name="PostCode">
    <vt:lpwstr>0810</vt:lpwstr>
  </property>
  <property fmtid="{D5CDD505-2E9C-101B-9397-08002B2CF9AE}" pid="12" name="RTOnumber">
    <vt:lpwstr>40674</vt:lpwstr>
  </property>
  <property fmtid="{D5CDD505-2E9C-101B-9397-08002B2CF9AE}" pid="13" name="State">
    <vt:lpwstr>NT</vt:lpwstr>
  </property>
  <property fmtid="{D5CDD505-2E9C-101B-9397-08002B2CF9AE}" pid="14" name="StreetAddress">
    <vt:lpwstr>The Old Nakara Shopping Centre, Corner Macredie Street and Nakara Terrace</vt:lpwstr>
  </property>
  <property fmtid="{D5CDD505-2E9C-101B-9397-08002B2CF9AE}" pid="15" name="Suburb">
    <vt:lpwstr>Nakara</vt:lpwstr>
  </property>
  <property fmtid="{D5CDD505-2E9C-101B-9397-08002B2CF9AE}" pid="16" name="cmsApprovedBy">
    <vt:lpwstr>Administrator</vt:lpwstr>
  </property>
  <property fmtid="{D5CDD505-2E9C-101B-9397-08002B2CF9AE}" pid="17" name="cmsApprovedDate">
    <vt:lpwstr>10-05-2025</vt:lpwstr>
  </property>
  <property fmtid="{D5CDD505-2E9C-101B-9397-08002B2CF9AE}" pid="18" name="cmsDocCreatedBy">
    <vt:lpwstr>Administrator</vt:lpwstr>
  </property>
  <property fmtid="{D5CDD505-2E9C-101B-9397-08002B2CF9AE}" pid="19" name="cmsDocName">
    <vt:lpwstr>Complaints and Appeals Policy</vt:lpwstr>
  </property>
  <property fmtid="{D5CDD505-2E9C-101B-9397-08002B2CF9AE}" pid="20" name="cmsDocLocation">
    <vt:lpwstr>NovaCore CMS\CRICOS 2018\Policy\</vt:lpwstr>
  </property>
  <property fmtid="{D5CDD505-2E9C-101B-9397-08002B2CF9AE}" pid="21" name="cmsDocNumber">
    <vt:lpwstr>2297</vt:lpwstr>
  </property>
  <property fmtid="{D5CDD505-2E9C-101B-9397-08002B2CF9AE}" pid="22" name="cmsNextReviewDate">
    <vt:lpwstr>10-05-2026</vt:lpwstr>
  </property>
  <property fmtid="{D5CDD505-2E9C-101B-9397-08002B2CF9AE}" pid="23" name="cmsRevision">
    <vt:lpwstr>1.3</vt:lpwstr>
  </property>
  <property fmtid="{D5CDD505-2E9C-101B-9397-08002B2CF9AE}" pid="24" name="cmsRevisionDate">
    <vt:lpwstr>10-05-2025</vt:lpwstr>
  </property>
</Properties>
</file>